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2">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A">
      <w:pPr>
        <w:ind w:right="424" w:hanging="2"/>
        <w:jc w:val="both"/>
        <w:rPr>
          <w:rFonts w:ascii="Titillium" w:cs="Titillium" w:eastAsia="Titillium" w:hAnsi="Titillium"/>
          <w:b w:val="1"/>
          <w:bCs w:val="1"/>
          <w:sz w:val="21"/>
          <w:szCs w:val="2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581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Spett.le</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5812" w:firstLine="0"/>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INAF – ISTITUTO DI ASTROFISICA E PLANETOLOGIA SPAZIALI</w:t>
      </w:r>
      <w:r w:rsidDel="00000000" w:rsidR="00000000" w:rsidRPr="00000000">
        <w:rPr>
          <w:rtl w:val="0"/>
        </w:rPr>
      </w:r>
    </w:p>
    <w:p w:rsidR="00000000" w:rsidDel="00000000" w:rsidP="00000000" w:rsidRDefault="00000000" w:rsidRPr="00000000" w14:paraId="0000000E">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F">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0">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sottoscritto_______________________________________________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nato il _____________________ a ______________________________</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b w:val="1"/>
          <w:bCs w:val="1"/>
          <w:i w:val="1"/>
          <w:iCs w:val="1"/>
          <w:color w:val="000000"/>
          <w:sz w:val="21"/>
          <w:szCs w:val="21"/>
        </w:rPr>
      </w:pPr>
      <w:r w:rsidDel="00000000" w:rsidR="00000000" w:rsidRPr="00000000">
        <w:rPr>
          <w:rFonts w:ascii="Titillium" w:cs="Titillium" w:eastAsia="Titillium" w:hAnsi="Titillium"/>
          <w:color w:val="000000"/>
          <w:sz w:val="21"/>
          <w:szCs w:val="21"/>
          <w:rtl w:val="0"/>
        </w:rPr>
        <w:t xml:space="preserve"> in qualità di </w:t>
      </w:r>
      <w:r w:rsidDel="00000000" w:rsidR="00000000" w:rsidRPr="00000000">
        <w:rPr>
          <w:rFonts w:ascii="Titillium" w:cs="Titillium" w:eastAsia="Titillium" w:hAnsi="Titillium"/>
          <w:b w:val="1"/>
          <w:bCs w:val="1"/>
          <w:i w:val="1"/>
          <w:iCs w:val="1"/>
          <w:color w:val="000000"/>
          <w:sz w:val="21"/>
          <w:szCs w:val="21"/>
          <w:rtl w:val="0"/>
        </w:rPr>
        <w:t xml:space="preserve">(barrare la casella che interessa):</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Titolare o Legale rappresentante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-17461</wp:posOffset>
                </wp:positionH>
                <wp:positionV relativeFrom="paragraph">
                  <wp:posOffset>20638</wp:posOffset>
                </wp:positionV>
                <wp:extent cx="190500" cy="180975"/>
                <wp:effectExtent b="0" l="0" r="0" t="0"/>
                <wp:wrapNone/>
                <wp:docPr id="2038907146" name=""/>
                <a:graphic>
                  <a:graphicData uri="http://schemas.microsoft.com/office/word/2010/wordprocessingShape">
                    <wps:wsp>
                      <wps:cNvSpPr/>
                      <wps:cNvPr id="2" name="Shape 2"/>
                      <wps:spPr>
                        <a:xfrm>
                          <a:off x="5255513" y="3694275"/>
                          <a:ext cx="180975" cy="171450"/>
                        </a:xfrm>
                        <a:prstGeom prst="rect">
                          <a:avLst/>
                        </a:prstGeom>
                        <a:solidFill>
                          <a:srgbClr val="FFFFFF"/>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-17461</wp:posOffset>
                </wp:positionH>
                <wp:positionV relativeFrom="paragraph">
                  <wp:posOffset>20638</wp:posOffset>
                </wp:positionV>
                <wp:extent cx="190500" cy="180975"/>
                <wp:effectExtent b="0" l="0" r="0" t="0"/>
                <wp:wrapNone/>
                <wp:docPr id="203890714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0500" cy="180975"/>
                        </a:xfrm>
                        <a:prstGeom prst="rect"/>
                        <a:ln/>
                      </pic:spPr>
                    </pic:pic>
                  </a:graphicData>
                </a:graphic>
              </wp:anchor>
            </w:drawing>
          </mc:Fallback>
        </mc:AlternateConten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Procuratore, come da procura generale/speciale in data ___/___/______ a rogito notarile ___________________________ Rep. n. ___________________ (allegata in copia conforme)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90500" cy="180975"/>
                <wp:effectExtent b="0" l="0" r="0" t="0"/>
                <wp:wrapNone/>
                <wp:docPr id="2038907150" name=""/>
                <a:graphic>
                  <a:graphicData uri="http://schemas.microsoft.com/office/word/2010/wordprocessingShape">
                    <wps:wsp>
                      <wps:cNvSpPr/>
                      <wps:cNvPr id="6" name="Shape 6"/>
                      <wps:spPr>
                        <a:xfrm>
                          <a:off x="5255513" y="3694275"/>
                          <a:ext cx="180975" cy="171450"/>
                        </a:xfrm>
                        <a:prstGeom prst="rect">
                          <a:avLst/>
                        </a:prstGeom>
                        <a:solidFill>
                          <a:srgbClr val="FFFFFF"/>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90500" cy="180975"/>
                <wp:effectExtent b="0" l="0" r="0" t="0"/>
                <wp:wrapNone/>
                <wp:docPr id="203890715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0500" cy="180975"/>
                        </a:xfrm>
                        <a:prstGeom prst="rect"/>
                        <a:ln/>
                      </pic:spPr>
                    </pic:pic>
                  </a:graphicData>
                </a:graphic>
              </wp:anchor>
            </w:drawing>
          </mc:Fallback>
        </mc:AlternateConten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dell’impresa_____________________________________________________________</w:t>
      </w:r>
    </w:p>
    <w:p w:rsidR="00000000" w:rsidDel="00000000" w:rsidP="00000000" w:rsidRDefault="00000000" w:rsidRPr="00000000" w14:paraId="00000018">
      <w:pPr>
        <w:tabs>
          <w:tab w:val="left" w:leader="none" w:pos="142"/>
          <w:tab w:val="left" w:leader="none" w:pos="9214"/>
        </w:tabs>
        <w:spacing w:line="360" w:lineRule="auto"/>
        <w:ind w:right="424"/>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con sede legale in ________________________ Via _________________________ n. ___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Codice fiscale n.___________________________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Partita IVA n ____________________________,</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1C">
      <w:pPr>
        <w:tabs>
          <w:tab w:val="left" w:leader="none" w:pos="142"/>
        </w:tabs>
        <w:spacing w:line="360" w:lineRule="auto"/>
        <w:ind w:right="424"/>
        <w:jc w:val="both"/>
        <w:rPr>
          <w:rFonts w:ascii="Titillium" w:cs="Titillium" w:eastAsia="Titillium" w:hAnsi="Titillium"/>
          <w:b w:val="1"/>
          <w:bCs w:val="1"/>
          <w:sz w:val="21"/>
          <w:szCs w:val="21"/>
        </w:rPr>
      </w:pPr>
      <w:r w:rsidDel="00000000" w:rsidR="00000000" w:rsidRPr="00000000">
        <w:rPr>
          <w:rFonts w:ascii="Titillium" w:cs="Titillium" w:eastAsia="Titillium" w:hAnsi="Titillium"/>
          <w:sz w:val="21"/>
          <w:szCs w:val="21"/>
          <w:rtl w:val="0"/>
        </w:rPr>
        <w:t xml:space="preserve">consapevole della responsabilità penale cui può andare incontro in caso di dichiarazioni mendaci, ai sensi dell’art. 76 del D.P.R. 445/00 e s.m., in qualità di </w:t>
      </w:r>
      <w:r w:rsidDel="00000000" w:rsidR="00000000" w:rsidRPr="00000000">
        <w:rPr>
          <w:rFonts w:ascii="Titillium" w:cs="Titillium" w:eastAsia="Titillium" w:hAnsi="Titillium"/>
          <w:b w:val="1"/>
          <w:bCs w:val="1"/>
          <w:sz w:val="21"/>
          <w:szCs w:val="21"/>
          <w:rtl w:val="0"/>
        </w:rPr>
        <w:t xml:space="preserve">impresa ausiliaria dell’operatore economico partecipante ____________________________________________________________________</w:t>
      </w:r>
    </w:p>
    <w:p w:rsidR="00000000" w:rsidDel="00000000" w:rsidP="00000000" w:rsidRDefault="00000000" w:rsidRPr="00000000" w14:paraId="0000001D">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1E">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1F">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20">
      <w:pPr>
        <w:tabs>
          <w:tab w:val="left" w:leader="none" w:pos="142"/>
        </w:tabs>
        <w:ind w:right="424"/>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DICHIARA</w:t>
      </w:r>
    </w:p>
    <w:p w:rsidR="00000000" w:rsidDel="00000000" w:rsidP="00000000" w:rsidRDefault="00000000" w:rsidRPr="00000000" w14:paraId="00000021">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22">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23">
      <w:pPr>
        <w:tabs>
          <w:tab w:val="left" w:leader="none" w:pos="142"/>
        </w:tabs>
        <w:ind w:right="424"/>
        <w:jc w:val="center"/>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24">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possedere - ai sensi e per gli effetti dell’art. 104 del Codice - i seguenti requisiti di carattere speciale, così come prescritti nel disciplinare di gara, di cui il concorrente si avvale per poter essere ammesso alla gara:</w:t>
      </w:r>
    </w:p>
    <w:p w:rsidR="00000000" w:rsidDel="00000000" w:rsidP="00000000" w:rsidRDefault="00000000" w:rsidRPr="00000000" w14:paraId="00000025">
      <w:pPr>
        <w:numPr>
          <w:ilvl w:val="3"/>
          <w:numId w:val="2"/>
        </w:numPr>
        <w:tabs>
          <w:tab w:val="left" w:leader="none" w:pos="-142"/>
          <w:tab w:val="left" w:leader="none" w:pos="142"/>
        </w:tabs>
        <w:spacing w:line="360" w:lineRule="auto"/>
        <w:ind w:left="1463"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__________________________________________________________;</w:t>
      </w:r>
    </w:p>
    <w:p w:rsidR="00000000" w:rsidDel="00000000" w:rsidP="00000000" w:rsidRDefault="00000000" w:rsidRPr="00000000" w14:paraId="00000026">
      <w:pPr>
        <w:numPr>
          <w:ilvl w:val="3"/>
          <w:numId w:val="2"/>
        </w:numPr>
        <w:tabs>
          <w:tab w:val="left" w:leader="none" w:pos="-142"/>
          <w:tab w:val="left" w:leader="none" w:pos="142"/>
        </w:tabs>
        <w:spacing w:line="360" w:lineRule="auto"/>
        <w:ind w:left="1463"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__________________________________________________________.</w:t>
      </w:r>
    </w:p>
    <w:p w:rsidR="00000000" w:rsidDel="00000000" w:rsidP="00000000" w:rsidRDefault="00000000" w:rsidRPr="00000000" w14:paraId="00000027">
      <w:pPr>
        <w:tabs>
          <w:tab w:val="left" w:leader="none" w:pos="-142"/>
          <w:tab w:val="left" w:leader="none" w:pos="142"/>
        </w:tabs>
        <w:spacing w:line="360" w:lineRule="auto"/>
        <w:ind w:left="1463"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28">
      <w:pPr>
        <w:tabs>
          <w:tab w:val="left" w:leader="none" w:pos="-142"/>
          <w:tab w:val="left" w:leader="none" w:pos="993"/>
        </w:tabs>
        <w:spacing w:line="360" w:lineRule="auto"/>
        <w:ind w:left="567" w:right="424"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e di obbligarsi – in maniera incondizionata e irrevocabile –, nei confronti del concorrente e di INAF, a fornire i propri requisiti di ordine speciale dei quali è carente il concorrente ausiliato e mettere a disposizione le risorse necessarie per tutta la durata del contratto, nei modi e nei limiti stabiliti dall’art. 104 del D. Lgs. 36/2023, rendendosi inoltre responsabile in solido con il concorrente nei confronti della Stazione appaltante, in relazione alle prestazioni oggetto del contratto;</w:t>
      </w:r>
    </w:p>
    <w:p w:rsidR="00000000" w:rsidDel="00000000" w:rsidP="00000000" w:rsidRDefault="00000000" w:rsidRPr="00000000" w14:paraId="00000029">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partecipare alla medesima gara contemporaneamente in forme diverse (individuale e associata; in più forme associate; in forma singola e quale consorziato esecutore di un consorzio)</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2"/>
          <w:tab w:val="left" w:leader="none" w:pos="284"/>
        </w:tabs>
        <w:spacing w:after="60" w:before="60" w:line="360" w:lineRule="auto"/>
        <w:ind w:left="502" w:right="424" w:firstLine="0"/>
        <w:jc w:val="both"/>
        <w:rPr>
          <w:rFonts w:ascii="Titillium" w:cs="Titillium" w:eastAsia="Titillium" w:hAnsi="Titillium"/>
          <w:color w:val="000000"/>
          <w:sz w:val="21"/>
          <w:szCs w:val="21"/>
          <w:u w:val="single"/>
        </w:rPr>
      </w:pPr>
      <w:r w:rsidDel="00000000" w:rsidR="00000000" w:rsidRPr="00000000">
        <w:rPr>
          <w:rFonts w:ascii="Titillium" w:cs="Titillium" w:eastAsia="Titillium" w:hAnsi="Titillium"/>
          <w:color w:val="000000"/>
          <w:sz w:val="21"/>
          <w:szCs w:val="21"/>
          <w:u w:val="single"/>
          <w:rtl w:val="0"/>
        </w:rPr>
        <w:t xml:space="preserve">(compilare una delle due opzioni):</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 w:val="left" w:leader="none" w:pos="284"/>
        </w:tabs>
        <w:spacing w:after="60" w:before="60" w:line="360" w:lineRule="auto"/>
        <w:ind w:left="502" w:right="424" w:firstLine="0"/>
        <w:jc w:val="both"/>
        <w:rPr>
          <w:rFonts w:ascii="Titillium" w:cs="Titillium" w:eastAsia="Titillium" w:hAnsi="Titillium"/>
          <w:color w:val="000000"/>
          <w:sz w:val="21"/>
          <w:szCs w:val="21"/>
          <w:u w:val="single"/>
        </w:rPr>
      </w:pPr>
      <w:r w:rsidDel="00000000" w:rsidR="00000000" w:rsidRPr="00000000">
        <w:rPr>
          <w:rtl w:val="0"/>
        </w:rPr>
      </w:r>
    </w:p>
    <w:tbl>
      <w:tblPr>
        <w:tblStyle w:val="Table1"/>
        <w:tblW w:w="9809.0" w:type="dxa"/>
        <w:jc w:val="left"/>
        <w:tblInd w:w="250.0" w:type="dxa"/>
        <w:tblLayout w:type="fixed"/>
        <w:tblLook w:val="0000"/>
      </w:tblPr>
      <w:tblGrid>
        <w:gridCol w:w="9809"/>
        <w:tblGridChange w:id="0">
          <w:tblGrid>
            <w:gridCol w:w="9809"/>
          </w:tblGrid>
        </w:tblGridChange>
      </w:tblGrid>
      <w:tr>
        <w:trPr>
          <w:cantSplit w:val="1"/>
          <w:trHeight w:val="260" w:hRule="atLeast"/>
          <w:tblHeader w:val="0"/>
        </w:trPr>
        <w:tc>
          <w:tcPr>
            <w:vAlign w:val="center"/>
          </w:tcPr>
          <w:p w:rsidR="00000000" w:rsidDel="00000000" w:rsidP="00000000" w:rsidRDefault="00000000" w:rsidRPr="00000000" w14:paraId="0000002C">
            <w:pPr>
              <w:tabs>
                <w:tab w:val="left" w:leader="none" w:pos="142"/>
              </w:tabs>
              <w:spacing w:line="360" w:lineRule="auto"/>
              <w:ind w:right="951"/>
              <w:jc w:val="both"/>
              <w:rPr>
                <w:rFonts w:ascii="Titillium" w:cs="Titillium" w:eastAsia="Titillium" w:hAnsi="Titillium"/>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Titillium" w:cs="Titillium" w:eastAsia="Titillium" w:hAnsi="Titillium"/>
                <w:sz w:val="21"/>
                <w:szCs w:val="21"/>
                <w:rtl w:val="0"/>
              </w:rPr>
              <w:t xml:space="preserve"> SI (in tal caso </w:t>
            </w:r>
            <w:r w:rsidDel="00000000" w:rsidR="00000000" w:rsidRPr="00000000">
              <w:rPr>
                <w:rFonts w:ascii="Titillium" w:cs="Titillium" w:eastAsia="Titillium" w:hAnsi="Titillium"/>
                <w:sz w:val="21"/>
                <w:szCs w:val="21"/>
                <w:u w:val="single"/>
                <w:rtl w:val="0"/>
              </w:rPr>
              <w:t xml:space="preserve">allegare idonea documentazione</w:t>
            </w:r>
            <w:r w:rsidDel="00000000" w:rsidR="00000000" w:rsidRPr="00000000">
              <w:rPr>
                <w:rFonts w:ascii="Titillium" w:cs="Titillium" w:eastAsia="Titillium" w:hAnsi="Titillium"/>
                <w:sz w:val="21"/>
                <w:szCs w:val="21"/>
                <w:rtl w:val="0"/>
              </w:rPr>
              <w:t xml:space="preserve"> con la quale dimostrare che la circostanza non abbia influito sulla gara, né sia idonea a incidere sulla capacità di rispettare gli obblighi contrattuali)</w:t>
            </w:r>
          </w:p>
        </w:tc>
      </w:tr>
      <w:tr>
        <w:trPr>
          <w:cantSplit w:val="1"/>
          <w:trHeight w:val="260" w:hRule="atLeast"/>
          <w:tblHeader w:val="0"/>
        </w:trPr>
        <w:tc>
          <w:tcPr>
            <w:vAlign w:val="center"/>
          </w:tcPr>
          <w:p w:rsidR="00000000" w:rsidDel="00000000" w:rsidP="00000000" w:rsidRDefault="00000000" w:rsidRPr="00000000" w14:paraId="0000002D">
            <w:pPr>
              <w:tabs>
                <w:tab w:val="left" w:leader="none" w:pos="142"/>
              </w:tabs>
              <w:spacing w:line="360" w:lineRule="auto"/>
              <w:ind w:right="951"/>
              <w:jc w:val="both"/>
              <w:rPr>
                <w:rFonts w:ascii="Titillium" w:cs="Titillium" w:eastAsia="Titillium" w:hAnsi="Titillium"/>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Titillium" w:cs="Titillium" w:eastAsia="Titillium" w:hAnsi="Titillium"/>
                <w:sz w:val="21"/>
                <w:szCs w:val="21"/>
                <w:rtl w:val="0"/>
              </w:rPr>
              <w:t xml:space="preserve"> NO </w:t>
            </w:r>
          </w:p>
          <w:p w:rsidR="00000000" w:rsidDel="00000000" w:rsidP="00000000" w:rsidRDefault="00000000" w:rsidRPr="00000000" w14:paraId="0000002E">
            <w:pPr>
              <w:tabs>
                <w:tab w:val="left" w:leader="none" w:pos="142"/>
              </w:tabs>
              <w:spacing w:line="360" w:lineRule="auto"/>
              <w:ind w:right="951"/>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2F">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 dati identificativi dei soggetti di cui all’art. 94, comma 3 del Codice sono (</w:t>
      </w:r>
      <w:r w:rsidDel="00000000" w:rsidR="00000000" w:rsidRPr="00000000">
        <w:rPr>
          <w:rFonts w:ascii="Titillium" w:cs="Titillium" w:eastAsia="Titillium" w:hAnsi="Titillium"/>
          <w:i w:val="1"/>
          <w:iCs w:val="1"/>
          <w:sz w:val="21"/>
          <w:szCs w:val="21"/>
          <w:rtl w:val="0"/>
        </w:rPr>
        <w:t xml:space="preserve">per l’individuazione dei soggetti da dichiarare cfr. atti dell’ANAC tra cui il Comunicato del Presidente ANAC dell’08/11/2017</w:t>
      </w:r>
      <w:r w:rsidDel="00000000" w:rsidR="00000000" w:rsidRPr="00000000">
        <w:rPr>
          <w:rFonts w:ascii="Titillium" w:cs="Titillium" w:eastAsia="Titillium" w:hAnsi="Titillium"/>
          <w:sz w:val="21"/>
          <w:szCs w:val="21"/>
          <w:rtl w:val="0"/>
        </w:rPr>
        <w:t xml:space="preserve">):</w:t>
      </w:r>
    </w:p>
    <w:p w:rsidR="00000000" w:rsidDel="00000000" w:rsidP="00000000" w:rsidRDefault="00000000" w:rsidRPr="00000000" w14:paraId="00000030">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 soggetti titolari di poteri di amministrazione e rappresentanza,</w:t>
      </w:r>
      <w:r w:rsidDel="00000000" w:rsidR="00000000" w:rsidRPr="00000000">
        <w:rPr>
          <w:rFonts w:ascii="Titillium" w:cs="Titillium" w:eastAsia="Titillium" w:hAnsi="Titillium"/>
          <w:sz w:val="21"/>
          <w:szCs w:val="21"/>
          <w:shd w:fill="f5fdfe" w:val="clear"/>
          <w:rtl w:val="0"/>
        </w:rPr>
        <w:t xml:space="preserve"> </w:t>
      </w:r>
      <w:r w:rsidDel="00000000" w:rsidR="00000000" w:rsidRPr="00000000">
        <w:rPr>
          <w:rFonts w:ascii="Titillium" w:cs="Titillium" w:eastAsia="Titillium" w:hAnsi="Titillium"/>
          <w:sz w:val="21"/>
          <w:szCs w:val="21"/>
          <w:rtl w:val="0"/>
        </w:rPr>
        <w:t xml:space="preserve">ivi compresi institori e procuratori generali</w:t>
      </w:r>
      <w:r w:rsidDel="00000000" w:rsidR="00000000" w:rsidRPr="00000000">
        <w:rPr>
          <w:rFonts w:ascii="Titillium" w:cs="Titillium" w:eastAsia="Titillium" w:hAnsi="Titillium"/>
          <w:sz w:val="21"/>
          <w:szCs w:val="21"/>
          <w:shd w:fill="f5fdfe" w:val="clear"/>
          <w:rtl w:val="0"/>
        </w:rPr>
        <w:t xml:space="preserve">, </w:t>
      </w:r>
      <w:r w:rsidDel="00000000" w:rsidR="00000000" w:rsidRPr="00000000">
        <w:rPr>
          <w:rFonts w:ascii="Titillium" w:cs="Titillium" w:eastAsia="Titillium" w:hAnsi="Titillium"/>
          <w:sz w:val="21"/>
          <w:szCs w:val="21"/>
          <w:rtl w:val="0"/>
        </w:rPr>
        <w:t xml:space="preserve">nonché i poteri loro conferiti, sono: </w:t>
      </w:r>
    </w:p>
    <w:tbl>
      <w:tblPr>
        <w:tblStyle w:val="Table2"/>
        <w:tblW w:w="9390.0" w:type="dxa"/>
        <w:jc w:val="left"/>
        <w:tblInd w:w="250.0" w:type="dxa"/>
        <w:tblLayout w:type="fixed"/>
        <w:tblLook w:val="0400"/>
      </w:tblPr>
      <w:tblGrid>
        <w:gridCol w:w="1932"/>
        <w:gridCol w:w="1399"/>
        <w:gridCol w:w="2101"/>
        <w:gridCol w:w="2101"/>
        <w:gridCol w:w="1857"/>
        <w:tblGridChange w:id="0">
          <w:tblGrid>
            <w:gridCol w:w="1932"/>
            <w:gridCol w:w="1399"/>
            <w:gridCol w:w="2101"/>
            <w:gridCol w:w="2101"/>
            <w:gridCol w:w="1857"/>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360" w:lineRule="auto"/>
              <w:ind w:right="-76"/>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3">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4">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5">
            <w:pPr>
              <w:spacing w:line="360" w:lineRule="auto"/>
              <w:ind w:right="172"/>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37">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3D">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42">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43">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44">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 membri degli organi con poteri di direzione o di vigilanza sono:</w:t>
      </w:r>
    </w:p>
    <w:tbl>
      <w:tblPr>
        <w:tblStyle w:val="Table3"/>
        <w:tblW w:w="9355.0" w:type="dxa"/>
        <w:jc w:val="left"/>
        <w:tblInd w:w="250.0" w:type="dxa"/>
        <w:tblLayout w:type="fixed"/>
        <w:tblLook w:val="0400"/>
      </w:tblPr>
      <w:tblGrid>
        <w:gridCol w:w="1588"/>
        <w:gridCol w:w="1418"/>
        <w:gridCol w:w="1864"/>
        <w:gridCol w:w="2032"/>
        <w:gridCol w:w="2453"/>
        <w:tblGridChange w:id="0">
          <w:tblGrid>
            <w:gridCol w:w="1588"/>
            <w:gridCol w:w="1418"/>
            <w:gridCol w:w="1864"/>
            <w:gridCol w:w="2032"/>
            <w:gridCol w:w="2453"/>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360" w:lineRule="auto"/>
              <w:ind w:right="-142"/>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4B">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51">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56">
      <w:pPr>
        <w:spacing w:line="360" w:lineRule="auto"/>
        <w:ind w:left="-14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57">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 soggetti muniti di poteri di rappresentanza, di direzione o di controllo sono:</w:t>
      </w:r>
    </w:p>
    <w:tbl>
      <w:tblPr>
        <w:tblStyle w:val="Table4"/>
        <w:tblW w:w="9355.0" w:type="dxa"/>
        <w:jc w:val="left"/>
        <w:tblInd w:w="250.0" w:type="dxa"/>
        <w:tblLayout w:type="fixed"/>
        <w:tblLook w:val="0400"/>
      </w:tblPr>
      <w:tblGrid>
        <w:gridCol w:w="1588"/>
        <w:gridCol w:w="1418"/>
        <w:gridCol w:w="1864"/>
        <w:gridCol w:w="2032"/>
        <w:gridCol w:w="2453"/>
        <w:tblGridChange w:id="0">
          <w:tblGrid>
            <w:gridCol w:w="1588"/>
            <w:gridCol w:w="1418"/>
            <w:gridCol w:w="1864"/>
            <w:gridCol w:w="2032"/>
            <w:gridCol w:w="2453"/>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360" w:lineRule="auto"/>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A">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B">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C">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5E">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4">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69">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A">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B">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rivestono la qualifica di Direttore Tecnico</w:t>
      </w:r>
      <w:r w:rsidDel="00000000" w:rsidR="00000000" w:rsidRPr="00000000">
        <w:rPr>
          <w:rFonts w:ascii="Titillium" w:cs="Titillium" w:eastAsia="Titillium" w:hAnsi="Titillium"/>
          <w:i w:val="1"/>
          <w:iCs w:val="1"/>
          <w:sz w:val="21"/>
          <w:szCs w:val="21"/>
          <w:rtl w:val="0"/>
        </w:rPr>
        <w:t xml:space="preserve"> </w:t>
      </w:r>
      <w:r w:rsidDel="00000000" w:rsidR="00000000" w:rsidRPr="00000000">
        <w:rPr>
          <w:rFonts w:ascii="Titillium" w:cs="Titillium" w:eastAsia="Titillium" w:hAnsi="Titillium"/>
          <w:sz w:val="21"/>
          <w:szCs w:val="21"/>
          <w:rtl w:val="0"/>
        </w:rPr>
        <w:t xml:space="preserve">i seguenti soggetti:</w:t>
      </w:r>
    </w:p>
    <w:tbl>
      <w:tblPr>
        <w:tblStyle w:val="Table5"/>
        <w:tblW w:w="8619.0" w:type="dxa"/>
        <w:jc w:val="center"/>
        <w:tblLayout w:type="fixed"/>
        <w:tblLook w:val="0400"/>
      </w:tblPr>
      <w:tblGrid>
        <w:gridCol w:w="2055"/>
        <w:gridCol w:w="2053"/>
        <w:gridCol w:w="1874"/>
        <w:gridCol w:w="2637"/>
        <w:tblGridChange w:id="0">
          <w:tblGrid>
            <w:gridCol w:w="2055"/>
            <w:gridCol w:w="2053"/>
            <w:gridCol w:w="1874"/>
            <w:gridCol w:w="2637"/>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6E">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6F">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1">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6">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7A">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B">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il socio amministratore in caso di società in nome collettivo o i soci accomandatari in caso di società in accomandita semplice è / sono:</w:t>
      </w:r>
    </w:p>
    <w:tbl>
      <w:tblPr>
        <w:tblStyle w:val="Table6"/>
        <w:tblW w:w="9014.0" w:type="dxa"/>
        <w:jc w:val="center"/>
        <w:tblLayout w:type="fixed"/>
        <w:tblLook w:val="0400"/>
      </w:tblPr>
      <w:tblGrid>
        <w:gridCol w:w="2193"/>
        <w:gridCol w:w="2080"/>
        <w:gridCol w:w="2127"/>
        <w:gridCol w:w="2614"/>
        <w:tblGridChange w:id="0">
          <w:tblGrid>
            <w:gridCol w:w="2193"/>
            <w:gridCol w:w="2080"/>
            <w:gridCol w:w="2127"/>
            <w:gridCol w:w="2614"/>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360" w:lineRule="auto"/>
              <w:ind w:right="424"/>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E">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F">
            <w:pPr>
              <w:spacing w:line="360" w:lineRule="auto"/>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1">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360" w:lineRule="auto"/>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6">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360" w:lineRule="auto"/>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360" w:lineRule="auto"/>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8A">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B">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l’amministratore di fatto di cui all’art. 94, comma 3, lett. h) del Codice è:</w:t>
      </w:r>
    </w:p>
    <w:tbl>
      <w:tblPr>
        <w:tblStyle w:val="Table7"/>
        <w:tblW w:w="8959.0" w:type="dxa"/>
        <w:jc w:val="left"/>
        <w:tblInd w:w="534.0" w:type="dxa"/>
        <w:tblLayout w:type="fixed"/>
        <w:tblLook w:val="0400"/>
      </w:tblPr>
      <w:tblGrid>
        <w:gridCol w:w="2027"/>
        <w:gridCol w:w="1867"/>
        <w:gridCol w:w="2804"/>
        <w:gridCol w:w="2261"/>
        <w:tblGridChange w:id="0">
          <w:tblGrid>
            <w:gridCol w:w="2027"/>
            <w:gridCol w:w="1867"/>
            <w:gridCol w:w="2804"/>
            <w:gridCol w:w="2261"/>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ind w:left="284" w:right="424" w:firstLine="0"/>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8E">
            <w:pPr>
              <w:ind w:right="424"/>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8F">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91">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96">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right="424"/>
              <w:jc w:val="both"/>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9A">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9B">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in caso di socio persona giuridica, gli amministratori della stessa, ai fini dell’art. 94 comma 4 del Codice, sono:</w:t>
      </w:r>
    </w:p>
    <w:tbl>
      <w:tblPr>
        <w:tblStyle w:val="Table8"/>
        <w:tblW w:w="8959.0" w:type="dxa"/>
        <w:jc w:val="left"/>
        <w:tblInd w:w="534.0" w:type="dxa"/>
        <w:tblLayout w:type="fixed"/>
        <w:tblLook w:val="0400"/>
      </w:tblPr>
      <w:tblGrid>
        <w:gridCol w:w="1547"/>
        <w:gridCol w:w="1458"/>
        <w:gridCol w:w="1956"/>
        <w:gridCol w:w="1889"/>
        <w:gridCol w:w="2109"/>
        <w:tblGridChange w:id="0">
          <w:tblGrid>
            <w:gridCol w:w="1547"/>
            <w:gridCol w:w="1458"/>
            <w:gridCol w:w="1956"/>
            <w:gridCol w:w="1889"/>
            <w:gridCol w:w="2109"/>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9E">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9F">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0">
            <w:pPr>
              <w:ind w:right="424"/>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A2">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ind w:right="424"/>
              <w:jc w:val="both"/>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ind w:right="424"/>
              <w:jc w:val="both"/>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ind w:right="424"/>
              <w:jc w:val="both"/>
              <w:rPr>
                <w:rFonts w:ascii="Titillium" w:cs="Titillium" w:eastAsia="Titillium" w:hAnsi="Titillium"/>
                <w:strike w:val="1"/>
                <w:sz w:val="21"/>
                <w:szCs w:val="21"/>
              </w:rPr>
            </w:pPr>
            <w:r w:rsidDel="00000000" w:rsidR="00000000" w:rsidRPr="00000000">
              <w:rPr>
                <w:rtl w:val="0"/>
              </w:rPr>
            </w:r>
          </w:p>
          <w:p w:rsidR="00000000" w:rsidDel="00000000" w:rsidP="00000000" w:rsidRDefault="00000000" w:rsidRPr="00000000" w14:paraId="000000A8">
            <w:pPr>
              <w:ind w:right="424"/>
              <w:jc w:val="both"/>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ind w:right="424"/>
              <w:jc w:val="both"/>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ind w:right="424"/>
              <w:jc w:val="both"/>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ind w:right="424"/>
              <w:jc w:val="both"/>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ind w:right="424"/>
              <w:jc w:val="both"/>
              <w:rPr>
                <w:rFonts w:ascii="Titillium" w:cs="Titillium" w:eastAsia="Titillium" w:hAnsi="Titillium"/>
                <w:strike w:val="1"/>
                <w:sz w:val="21"/>
                <w:szCs w:val="21"/>
              </w:rPr>
            </w:pPr>
            <w:r w:rsidDel="00000000" w:rsidR="00000000" w:rsidRPr="00000000">
              <w:rPr>
                <w:rtl w:val="0"/>
              </w:rPr>
            </w:r>
          </w:p>
        </w:tc>
      </w:tr>
    </w:tbl>
    <w:p w:rsidR="00000000" w:rsidDel="00000000" w:rsidP="00000000" w:rsidRDefault="00000000" w:rsidRPr="00000000" w14:paraId="000000AD">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AE">
      <w:pPr>
        <w:numPr>
          <w:ilvl w:val="0"/>
          <w:numId w:val="3"/>
        </w:numPr>
        <w:spacing w:line="360" w:lineRule="auto"/>
        <w:ind w:left="1069" w:right="424" w:hanging="567"/>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ovvero che la banca dati ufficiale o il pubblico registro da cui i medesimi possono essere ricavati in modo aggiornato alla data di presentazione dell’offerta è il seguente: _____________________________________.</w:t>
      </w:r>
    </w:p>
    <w:p w:rsidR="00000000" w:rsidDel="00000000" w:rsidP="00000000" w:rsidRDefault="00000000" w:rsidRPr="00000000" w14:paraId="000000AF">
      <w:pPr>
        <w:spacing w:line="360" w:lineRule="auto"/>
        <w:ind w:left="1069"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0">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aver preso visione e di accettare gli obblighi in materia di prevenzione della corruzione e trasparenza derivanti dal Codice di comportamento adottato dalla stazione appaltante con Delibera del Consiglio di Amministrazione numero 18 del 4 novembre 2015 reperibile al link: </w:t>
      </w:r>
      <w:hyperlink r:id="rId9">
        <w:r w:rsidDel="00000000" w:rsidR="00000000" w:rsidRPr="00000000">
          <w:rPr>
            <w:rFonts w:ascii="Titillium" w:cs="Titillium" w:eastAsia="Titillium" w:hAnsi="Titillium"/>
            <w:color w:val="0000ff"/>
            <w:sz w:val="21"/>
            <w:szCs w:val="21"/>
            <w:u w:val="single"/>
            <w:rtl w:val="0"/>
          </w:rPr>
          <w:t xml:space="preserve">http://www.inaf.it/it/amministrazione-trasparente/disposizioni-generali/atti</w:t>
        </w:r>
      </w:hyperlink>
      <w:r w:rsidDel="00000000" w:rsidR="00000000" w:rsidRPr="00000000">
        <w:rPr>
          <w:rFonts w:ascii="Titillium" w:cs="Titillium" w:eastAsia="Titillium" w:hAnsi="Titillium"/>
          <w:sz w:val="21"/>
          <w:szCs w:val="21"/>
          <w:rtl w:val="0"/>
        </w:rPr>
        <w:t xml:space="preserve"> generali/CodicedicomportamentoIstitutoNazionalediAstrofisicapdf.pdf  e di impegnarsi, in caso di aggiudicazione, ad osservare e a far osservare ai propri dipendenti e collaboratori, per quanto applicabile, il suddetto codice, pena la risoluzione del contratto;</w:t>
      </w:r>
    </w:p>
    <w:p w:rsidR="00000000" w:rsidDel="00000000" w:rsidP="00000000" w:rsidRDefault="00000000" w:rsidRPr="00000000" w14:paraId="000000B1">
      <w:pPr>
        <w:tabs>
          <w:tab w:val="left" w:leader="none" w:pos="-142"/>
          <w:tab w:val="left" w:leader="none" w:pos="142"/>
        </w:tabs>
        <w:spacing w:line="360" w:lineRule="auto"/>
        <w:ind w:left="50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2">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acconsentire al trattamento dei dati personali, ai sensi e per gli effetti di cui al Regolamento UE n. 679/2016 ed al vigente D. Lgs. 30 giugno 2003 n. 196, e di essere informato che i medesimi dati personali saranno trattati, anche con strumenti informatici, esclusivamente nell’ambito del procedimento per il quale la dichiarazione viene resa, nonché dell’esistenza dei diritti di cui all’articolo 7 del medesimo decreto legislativo;</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B4">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[Per gli operatori economici non residenti e privi di stabile organizzazione in Italia]</w:t>
      </w:r>
    </w:p>
    <w:p w:rsidR="00000000" w:rsidDel="00000000" w:rsidP="00000000" w:rsidRDefault="00000000" w:rsidRPr="00000000" w14:paraId="000000B5">
      <w:pPr>
        <w:tabs>
          <w:tab w:val="left" w:leader="none" w:pos="-142"/>
          <w:tab w:val="left" w:leader="none" w:pos="142"/>
        </w:tabs>
        <w:spacing w:line="360" w:lineRule="auto"/>
        <w:ind w:left="502" w:right="424"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impegnarsi ad uniformarsi, in caso di aggiudicazione, alla disciplina di cui agli articoli 17, comma 2, e 53, comma 3 del d.p.r. 633/1972 e a comunicare alla stazione appaltante la nomina del proprio rappresentante fiscale, nelle forme di legge;</w:t>
      </w:r>
    </w:p>
    <w:p w:rsidR="00000000" w:rsidDel="00000000" w:rsidP="00000000" w:rsidRDefault="00000000" w:rsidRPr="00000000" w14:paraId="000000B6">
      <w:pPr>
        <w:tabs>
          <w:tab w:val="left" w:leader="none" w:pos="-142"/>
          <w:tab w:val="left" w:leader="none" w:pos="142"/>
        </w:tabs>
        <w:spacing w:line="360" w:lineRule="auto"/>
        <w:ind w:left="50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7">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[Per gli operatori economici non residenti e privi di stabile organizzazione in Italia] </w:t>
      </w:r>
      <w:r w:rsidDel="00000000" w:rsidR="00000000" w:rsidRPr="00000000">
        <w:rPr>
          <w:rFonts w:ascii="Titillium" w:cs="Titillium" w:eastAsia="Titillium" w:hAnsi="Titillium"/>
          <w:sz w:val="21"/>
          <w:szCs w:val="21"/>
          <w:rtl w:val="0"/>
        </w:rPr>
        <w:t xml:space="preserve">il domicilio fiscale ____________, il codice fiscale ___________, la partita IVA _______________, l’indirizzo di posta elettronica certificata o strumento analogo negli altri Stati Membri, ai fini delle comunicazioni di cui all’articolo 90 del Codice _____________________;</w:t>
      </w:r>
      <w:r w:rsidDel="00000000" w:rsidR="00000000" w:rsidRPr="00000000">
        <w:rPr>
          <w:rtl w:val="0"/>
        </w:rPr>
      </w:r>
    </w:p>
    <w:p w:rsidR="00000000" w:rsidDel="00000000" w:rsidP="00000000" w:rsidRDefault="00000000" w:rsidRPr="00000000" w14:paraId="000000B8">
      <w:pPr>
        <w:tabs>
          <w:tab w:val="left" w:leader="none" w:pos="-142"/>
          <w:tab w:val="left" w:leader="none" w:pos="142"/>
        </w:tabs>
        <w:spacing w:line="360" w:lineRule="auto"/>
        <w:ind w:left="502" w:right="424" w:firstLine="0"/>
        <w:jc w:val="both"/>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B9">
      <w:pPr>
        <w:numPr>
          <w:ilvl w:val="0"/>
          <w:numId w:val="4"/>
        </w:numPr>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e dell’Ente aderente/del Committente per le finalità descritte nell’informativa;</w:t>
      </w:r>
    </w:p>
    <w:p w:rsidR="00000000" w:rsidDel="00000000" w:rsidP="00000000" w:rsidRDefault="00000000" w:rsidRPr="00000000" w14:paraId="000000BA">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[per gli operatori economici ammessi al concordato preventivo con continuità aziendale di cui all’art. 372 del D. Lgs. 14 del 12 gennaio 2019], ad integrazione di quanto eventualmente dichiarato nella parte III, sez. C, lett. d) del DGUE, che: </w:t>
      </w:r>
    </w:p>
    <w:p w:rsidR="00000000" w:rsidDel="00000000" w:rsidP="00000000" w:rsidRDefault="00000000" w:rsidRPr="00000000" w14:paraId="000000BB">
      <w:pPr>
        <w:tabs>
          <w:tab w:val="left" w:leader="none" w:pos="-142"/>
          <w:tab w:val="left" w:leader="none" w:pos="142"/>
        </w:tabs>
        <w:spacing w:line="360" w:lineRule="auto"/>
        <w:ind w:left="50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C">
      <w:pPr>
        <w:numPr>
          <w:ilvl w:val="1"/>
          <w:numId w:val="4"/>
        </w:numPr>
        <w:tabs>
          <w:tab w:val="left" w:leader="none" w:pos="-142"/>
          <w:tab w:val="left" w:leader="none" w:pos="142"/>
        </w:tabs>
        <w:spacing w:line="360" w:lineRule="auto"/>
        <w:ind w:left="122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gli estremi del provvedimento di ammissione rilasciato dal Tribunale di ____________</w:t>
      </w:r>
    </w:p>
    <w:p w:rsidR="00000000" w:rsidDel="00000000" w:rsidP="00000000" w:rsidRDefault="00000000" w:rsidRPr="00000000" w14:paraId="000000BD">
      <w:pPr>
        <w:tabs>
          <w:tab w:val="left" w:leader="none" w:pos="-142"/>
          <w:tab w:val="left" w:leader="none" w:pos="142"/>
        </w:tabs>
        <w:spacing w:line="360" w:lineRule="auto"/>
        <w:ind w:left="1222" w:right="424"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sono i seguenti: ________________________________________________________;</w:t>
      </w:r>
    </w:p>
    <w:p w:rsidR="00000000" w:rsidDel="00000000" w:rsidP="00000000" w:rsidRDefault="00000000" w:rsidRPr="00000000" w14:paraId="000000BE">
      <w:pPr>
        <w:numPr>
          <w:ilvl w:val="1"/>
          <w:numId w:val="4"/>
        </w:numPr>
        <w:tabs>
          <w:tab w:val="left" w:leader="none" w:pos="-142"/>
          <w:tab w:val="left" w:leader="none" w:pos="142"/>
        </w:tabs>
        <w:spacing w:line="360" w:lineRule="auto"/>
        <w:ind w:left="122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gli estremi del provvedimento di autorizzazione a partecipare alle gare rilasciato dal giudice delegato sono i seguenti: ___________________________________________;</w:t>
      </w:r>
    </w:p>
    <w:p w:rsidR="00000000" w:rsidDel="00000000" w:rsidP="00000000" w:rsidRDefault="00000000" w:rsidRPr="00000000" w14:paraId="000000BF">
      <w:pPr>
        <w:tabs>
          <w:tab w:val="left" w:leader="none" w:pos="-142"/>
          <w:tab w:val="left" w:leader="none" w:pos="142"/>
        </w:tabs>
        <w:spacing w:line="360" w:lineRule="auto"/>
        <w:ind w:left="122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C0">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le copie di tutti i documenti allegati all’offerta telematica in formato elettronico sono conformi all’originale in quanto sono state formate a norma dell’art. 22 co 3 del d.lgs. 82/2005 (Copie informatiche di documenti analogici) e/o dell’art. 23-bis del d.lgs. 82/2005 (Duplicati e copie informatiche di documenti informatici) e nel rispetto delle regole tecniche di cui all’art. 71 del medesimo d.lgs. 82/2005;</w:t>
      </w:r>
    </w:p>
    <w:p w:rsidR="00000000" w:rsidDel="00000000" w:rsidP="00000000" w:rsidRDefault="00000000" w:rsidRPr="00000000" w14:paraId="000000C1">
      <w:pPr>
        <w:tabs>
          <w:tab w:val="left" w:leader="none" w:pos="-142"/>
          <w:tab w:val="left" w:leader="none" w:pos="142"/>
        </w:tabs>
        <w:spacing w:line="360" w:lineRule="auto"/>
        <w:ind w:left="502" w:right="424"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C2">
      <w:pPr>
        <w:numPr>
          <w:ilvl w:val="0"/>
          <w:numId w:val="4"/>
        </w:numPr>
        <w:tabs>
          <w:tab w:val="left" w:leader="none" w:pos="-142"/>
          <w:tab w:val="left" w:leader="none" w:pos="142"/>
        </w:tabs>
        <w:spacing w:line="360" w:lineRule="auto"/>
        <w:ind w:left="502" w:right="424" w:hanging="36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di aver assolto agli obblighi di cui alla legge n. 68/1999;</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pacing w:after="60" w:before="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i w:val="1"/>
          <w:iCs w:val="1"/>
          <w:color w:val="000000"/>
          <w:sz w:val="21"/>
          <w:szCs w:val="21"/>
          <w:rtl w:val="0"/>
        </w:rPr>
        <w:t xml:space="preserve">(selezionare l’opzione scelta</w:t>
      </w: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60" w:before="60" w:line="360" w:lineRule="auto"/>
        <w:ind w:left="681" w:right="424"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essere tenuto alla redazione del rapporto sulla situazione del personale ai sensi dell’art. 46 del decreto legislativo 11 aprile 2006, n. 198 </w:t>
      </w:r>
      <w:r w:rsidDel="00000000" w:rsidR="00000000" w:rsidRPr="00000000">
        <w:rPr>
          <w:rFonts w:ascii="Titillium" w:cs="Titillium" w:eastAsia="Titillium" w:hAnsi="Titillium"/>
          <w:b w:val="1"/>
          <w:bCs w:val="1"/>
          <w:color w:val="000000"/>
          <w:sz w:val="21"/>
          <w:szCs w:val="21"/>
          <w:rtl w:val="0"/>
        </w:rPr>
        <w:t xml:space="preserve">in quanto operatore che occupa oltre 50 dipendenti</w:t>
      </w:r>
      <w:r w:rsidDel="00000000" w:rsidR="00000000" w:rsidRPr="00000000">
        <w:rPr>
          <w:rFonts w:ascii="Titillium" w:cs="Titillium" w:eastAsia="Titillium" w:hAnsi="Titillium"/>
          <w:color w:val="000000"/>
          <w:sz w:val="21"/>
          <w:szCs w:val="21"/>
          <w:rtl w:val="0"/>
        </w:rPr>
        <w:t xml:space="preserve">:</w:t>
      </w:r>
    </w:p>
    <w:tbl>
      <w:tblPr>
        <w:tblStyle w:val="Table9"/>
        <w:tblW w:w="6129.000000000001" w:type="dxa"/>
        <w:jc w:val="left"/>
        <w:tblInd w:w="392.0" w:type="dxa"/>
        <w:tblLayout w:type="fixed"/>
        <w:tblLook w:val="0000"/>
      </w:tblPr>
      <w:tblGrid>
        <w:gridCol w:w="4821"/>
        <w:gridCol w:w="1308"/>
        <w:tblGridChange w:id="0">
          <w:tblGrid>
            <w:gridCol w:w="4821"/>
            <w:gridCol w:w="1308"/>
          </w:tblGrid>
        </w:tblGridChange>
      </w:tblGrid>
      <w:tr>
        <w:trPr>
          <w:cantSplit w:val="1"/>
          <w:trHeight w:val="397" w:hRule="atLeast"/>
          <w:tblHeader w:val="0"/>
        </w:trPr>
        <w:tc>
          <w:tcPr>
            <w:vAlign w:val="center"/>
          </w:tcPr>
          <w:p w:rsidR="00000000" w:rsidDel="00000000" w:rsidP="00000000" w:rsidRDefault="00000000" w:rsidRPr="00000000" w14:paraId="000000C6">
            <w:pPr>
              <w:spacing w:before="120" w:line="276" w:lineRule="auto"/>
              <w:ind w:right="424"/>
              <w:jc w:val="center"/>
              <w:rPr>
                <w:rFonts w:ascii="Titillium" w:cs="Titillium" w:eastAsia="Titillium" w:hAnsi="Titillium"/>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Titillium" w:cs="Titillium" w:eastAsia="Titillium" w:hAnsi="Titillium"/>
                <w:sz w:val="21"/>
                <w:szCs w:val="21"/>
                <w:rtl w:val="0"/>
              </w:rPr>
              <w:t xml:space="preserve"> SI</w:t>
            </w:r>
          </w:p>
        </w:tc>
        <w:tc>
          <w:tcPr>
            <w:vAlign w:val="center"/>
          </w:tcPr>
          <w:p w:rsidR="00000000" w:rsidDel="00000000" w:rsidP="00000000" w:rsidRDefault="00000000" w:rsidRPr="00000000" w14:paraId="000000C7">
            <w:pPr>
              <w:spacing w:before="120" w:line="276" w:lineRule="auto"/>
              <w:ind w:right="424"/>
              <w:jc w:val="center"/>
              <w:rPr>
                <w:rFonts w:ascii="Titillium" w:cs="Titillium" w:eastAsia="Titillium" w:hAnsi="Titillium"/>
                <w:sz w:val="21"/>
                <w:szCs w:val="21"/>
              </w:rPr>
            </w:pPr>
            <w:r w:rsidDel="00000000" w:rsidR="00000000" w:rsidRPr="00000000">
              <w:rPr>
                <w:rFonts w:ascii="Arimo" w:cs="Arimo" w:eastAsia="Arimo" w:hAnsi="Arimo"/>
                <w:sz w:val="21"/>
                <w:szCs w:val="21"/>
                <w:rtl w:val="0"/>
              </w:rPr>
              <w:t xml:space="preserve">☐</w:t>
            </w:r>
            <w:r w:rsidDel="00000000" w:rsidR="00000000" w:rsidRPr="00000000">
              <w:rPr>
                <w:rFonts w:ascii="Titillium" w:cs="Titillium" w:eastAsia="Titillium" w:hAnsi="Titillium"/>
                <w:sz w:val="21"/>
                <w:szCs w:val="21"/>
                <w:rtl w:val="0"/>
              </w:rPr>
              <w:t xml:space="preserve"> NO</w:t>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60" w:before="60" w:line="360" w:lineRule="auto"/>
        <w:ind w:left="682" w:right="424" w:firstLine="0"/>
        <w:jc w:val="both"/>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0" w:before="60" w:line="360" w:lineRule="auto"/>
        <w:ind w:left="682" w:right="424" w:firstLine="0"/>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In caso di risposta affermativa:</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60" w:before="60" w:line="360" w:lineRule="auto"/>
        <w:ind w:left="682" w:right="424" w:firstLine="0"/>
        <w:jc w:val="both"/>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u w:val="single"/>
          <w:rtl w:val="0"/>
        </w:rPr>
        <w:t xml:space="preserve">selezionare l’opzione scelta</w:t>
      </w:r>
      <w:r w:rsidDel="00000000" w:rsidR="00000000" w:rsidRPr="00000000">
        <w:rPr>
          <w:rFonts w:ascii="Titillium" w:cs="Titillium" w:eastAsia="Titillium" w:hAnsi="Titillium"/>
          <w:i w:val="1"/>
          <w:iCs w:val="1"/>
          <w:color w:val="000000"/>
          <w:sz w:val="21"/>
          <w:szCs w:val="21"/>
          <w:rtl w:val="0"/>
        </w:rPr>
        <w:t xml:space="preserve">)</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60" w:before="60" w:line="360" w:lineRule="auto"/>
        <w:ind w:left="1107" w:right="424" w:hanging="425"/>
        <w:jc w:val="both"/>
        <w:rPr>
          <w:rFonts w:ascii="Titillium" w:cs="Titillium" w:eastAsia="Titillium" w:hAnsi="Titillium"/>
          <w:color w:val="000000"/>
          <w:sz w:val="21"/>
          <w:szCs w:val="21"/>
        </w:rPr>
      </w:pPr>
      <w:r w:rsidDel="00000000" w:rsidR="00000000" w:rsidRPr="00000000">
        <w:rPr>
          <w:rFonts w:ascii="Arimo" w:cs="Arimo" w:eastAsia="Arimo" w:hAnsi="Arimo"/>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tab/>
      </w:r>
      <w:r w:rsidDel="00000000" w:rsidR="00000000" w:rsidRPr="00000000">
        <w:rPr>
          <w:rFonts w:ascii="Titillium" w:cs="Titillium" w:eastAsia="Titillium" w:hAnsi="Titillium"/>
          <w:color w:val="000000"/>
          <w:sz w:val="21"/>
          <w:szCs w:val="21"/>
          <w:rtl w:val="0"/>
        </w:rPr>
        <w:t xml:space="preserve">allega</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rtl w:val="0"/>
        </w:rPr>
        <w:t xml:space="preserve">alla documentazione amministrativa copia dell’ultimo rapporto redatto, con attestazione della sua conformità a quello trasmesso;</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60" w:before="60" w:line="360" w:lineRule="auto"/>
        <w:ind w:left="681" w:right="424" w:firstLine="0"/>
        <w:jc w:val="both"/>
        <w:rPr>
          <w:rFonts w:ascii="Titillium" w:cs="Titillium" w:eastAsia="Titillium" w:hAnsi="Titillium"/>
          <w:b w:val="1"/>
          <w:bCs w:val="1"/>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60" w:before="60" w:line="360" w:lineRule="auto"/>
        <w:ind w:left="1107" w:right="424" w:hanging="425"/>
        <w:jc w:val="both"/>
        <w:rPr>
          <w:rFonts w:ascii="Titillium" w:cs="Titillium" w:eastAsia="Titillium" w:hAnsi="Titillium"/>
          <w:color w:val="000000"/>
          <w:sz w:val="21"/>
          <w:szCs w:val="21"/>
        </w:rPr>
      </w:pPr>
      <w:r w:rsidDel="00000000" w:rsidR="00000000" w:rsidRPr="00000000">
        <w:rPr>
          <w:rFonts w:ascii="Arimo" w:cs="Arimo" w:eastAsia="Arimo" w:hAnsi="Arimo"/>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tab/>
      </w:r>
      <w:r w:rsidDel="00000000" w:rsidR="00000000" w:rsidRPr="00000000">
        <w:rPr>
          <w:rFonts w:ascii="Titillium" w:cs="Titillium" w:eastAsia="Titillium" w:hAnsi="Titillium"/>
          <w:color w:val="000000"/>
          <w:sz w:val="21"/>
          <w:szCs w:val="21"/>
          <w:rtl w:val="0"/>
        </w:rPr>
        <w:t xml:space="preserve">nel caso in cui non abbia provveduto alla trasmissione del rapporto nei termini indicati dall'articolo 46, comma 1, del decreto legislativo n. 198/2006 allega</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rtl w:val="0"/>
        </w:rPr>
        <w:t xml:space="preserve">alla documentazione amministrativa </w:t>
      </w:r>
      <w:r w:rsidDel="00000000" w:rsidR="00000000" w:rsidRPr="00000000">
        <w:rPr>
          <w:rFonts w:ascii="Titillium" w:cs="Titillium" w:eastAsia="Titillium" w:hAnsi="Titillium"/>
          <w:color w:val="000000"/>
          <w:sz w:val="21"/>
          <w:szCs w:val="21"/>
          <w:u w:val="single"/>
          <w:rtl w:val="0"/>
        </w:rPr>
        <w:t xml:space="preserve">copia del rapporto</w:t>
      </w:r>
      <w:r w:rsidDel="00000000" w:rsidR="00000000" w:rsidRPr="00000000">
        <w:rPr>
          <w:rFonts w:ascii="Titillium" w:cs="Titillium" w:eastAsia="Titillium" w:hAnsi="Titillium"/>
          <w:color w:val="000000"/>
          <w:sz w:val="21"/>
          <w:szCs w:val="21"/>
          <w:rtl w:val="0"/>
        </w:rPr>
        <w:t xml:space="preserve"> redatto e </w:t>
      </w:r>
      <w:r w:rsidDel="00000000" w:rsidR="00000000" w:rsidRPr="00000000">
        <w:rPr>
          <w:rFonts w:ascii="Titillium" w:cs="Titillium" w:eastAsia="Titillium" w:hAnsi="Titillium"/>
          <w:color w:val="000000"/>
          <w:sz w:val="21"/>
          <w:szCs w:val="21"/>
          <w:u w:val="single"/>
          <w:rtl w:val="0"/>
        </w:rPr>
        <w:t xml:space="preserve">copia dell’attestazione dell’avvenuta trasmissione dello stesso rapporto</w:t>
      </w:r>
      <w:r w:rsidDel="00000000" w:rsidR="00000000" w:rsidRPr="00000000">
        <w:rPr>
          <w:rFonts w:ascii="Titillium" w:cs="Titillium" w:eastAsia="Titillium" w:hAnsi="Titillium"/>
          <w:color w:val="000000"/>
          <w:sz w:val="21"/>
          <w:szCs w:val="21"/>
          <w:rtl w:val="0"/>
        </w:rPr>
        <w:t xml:space="preserve"> ai soggetti del suindicato art. 46;</w:t>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pacing w:after="60" w:before="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non aver violato l’obbligo di cui all’art. 47, comma 3, del D.L. n. 77/2021, convertito in L. n. 108/2021, nei dodici mesi antecedenti alla presentazione dell’offerta nell’ambito della presente procedura;</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60" w:before="60" w:line="360" w:lineRule="auto"/>
        <w:ind w:left="502" w:right="424"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0">
      <w:pPr>
        <w:numPr>
          <w:ilvl w:val="0"/>
          <w:numId w:val="4"/>
        </w:numPr>
        <w:pBdr>
          <w:top w:space="0" w:sz="0" w:val="nil"/>
          <w:left w:space="0" w:sz="0" w:val="nil"/>
          <w:bottom w:space="0" w:sz="0" w:val="nil"/>
          <w:right w:space="0" w:sz="0" w:val="nil"/>
          <w:between w:space="0" w:sz="0" w:val="nil"/>
        </w:pBdr>
        <w:spacing w:before="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Dichiara di applicare ai dipendenti impiegati per il presente appalto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60" w:line="360" w:lineRule="auto"/>
        <w:ind w:left="530" w:right="424" w:firstLine="0"/>
        <w:jc w:val="both"/>
        <w:rPr>
          <w:rFonts w:ascii="Titillium" w:cs="Titillium" w:eastAsia="Titillium" w:hAnsi="Titillium"/>
          <w:color w:val="000000"/>
          <w:sz w:val="21"/>
          <w:szCs w:val="21"/>
        </w:rPr>
      </w:pPr>
      <w:r w:rsidDel="00000000" w:rsidR="00000000" w:rsidRPr="00000000">
        <w:rPr>
          <w:rFonts w:ascii="Arimo" w:cs="Arimo" w:eastAsia="Arimo" w:hAnsi="Arimo"/>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tab/>
      </w:r>
      <w:r w:rsidDel="00000000" w:rsidR="00000000" w:rsidRPr="00000000">
        <w:rPr>
          <w:rFonts w:ascii="Titillium" w:cs="Titillium" w:eastAsia="Titillium" w:hAnsi="Titillium"/>
          <w:color w:val="000000"/>
          <w:sz w:val="21"/>
          <w:szCs w:val="21"/>
          <w:rtl w:val="0"/>
        </w:rPr>
        <w:t xml:space="preserve">lo stesso C.C.N.L. previsto nel paragrafo 3 del Disciplinare di gara (metalmeccanici), avente codice alfanumerico numerico C064;</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60" w:before="60" w:line="360" w:lineRule="auto"/>
        <w:ind w:left="425" w:right="424" w:firstLine="0"/>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Oppure</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60" w:before="60" w:line="360" w:lineRule="auto"/>
        <w:ind w:left="530" w:right="424" w:firstLine="0"/>
        <w:jc w:val="both"/>
        <w:rPr>
          <w:rFonts w:ascii="Titillium" w:cs="Titillium" w:eastAsia="Titillium" w:hAnsi="Titillium"/>
          <w:color w:val="000000"/>
          <w:sz w:val="21"/>
          <w:szCs w:val="21"/>
        </w:rPr>
      </w:pPr>
      <w:r w:rsidDel="00000000" w:rsidR="00000000" w:rsidRPr="00000000">
        <w:rPr>
          <w:rFonts w:ascii="Arimo" w:cs="Arimo" w:eastAsia="Arimo" w:hAnsi="Arimo"/>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tab/>
      </w:r>
      <w:r w:rsidDel="00000000" w:rsidR="00000000" w:rsidRPr="00000000">
        <w:rPr>
          <w:rFonts w:ascii="Titillium" w:cs="Titillium" w:eastAsia="Titillium" w:hAnsi="Titillium"/>
          <w:color w:val="000000"/>
          <w:sz w:val="21"/>
          <w:szCs w:val="21"/>
          <w:rtl w:val="0"/>
        </w:rPr>
        <w:t xml:space="preserve">il seguente C.C.N.L. ______________________________, avente codice alfanumerico numerico unico _______________;</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60" w:before="60" w:line="360" w:lineRule="auto"/>
        <w:ind w:left="530" w:right="424"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spacing w:before="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a"/>
          <w:sz w:val="21"/>
          <w:szCs w:val="21"/>
          <w:rtl w:val="0"/>
        </w:rPr>
        <w:t xml:space="preserve">Dichiara che il </w:t>
      </w:r>
      <w:r w:rsidDel="00000000" w:rsidR="00000000" w:rsidRPr="00000000">
        <w:rPr>
          <w:rFonts w:ascii="Titillium" w:cs="Titillium" w:eastAsia="Titillium" w:hAnsi="Titillium"/>
          <w:b w:val="1"/>
          <w:bCs w:val="1"/>
          <w:color w:val="00000a"/>
          <w:sz w:val="21"/>
          <w:szCs w:val="21"/>
          <w:rtl w:val="0"/>
        </w:rPr>
        <w:t xml:space="preserve">“Titolare effettivo”</w:t>
      </w:r>
      <w:r w:rsidDel="00000000" w:rsidR="00000000" w:rsidRPr="00000000">
        <w:rPr>
          <w:rFonts w:ascii="Titillium" w:cs="Titillium" w:eastAsia="Titillium" w:hAnsi="Titillium"/>
          <w:color w:val="00000a"/>
          <w:sz w:val="21"/>
          <w:szCs w:val="21"/>
          <w:rtl w:val="0"/>
        </w:rPr>
        <w:t xml:space="preserve"> ex art. 22 Reg. 241/2021 in base al criterio di seguito evidenziato è:</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360" w:lineRule="auto"/>
        <w:ind w:left="502" w:right="424" w:firstLine="0"/>
        <w:jc w:val="both"/>
        <w:rPr>
          <w:rFonts w:ascii="Titillium" w:cs="Titillium" w:eastAsia="Titillium" w:hAnsi="Titillium"/>
          <w:color w:val="00000a"/>
          <w:sz w:val="21"/>
          <w:szCs w:val="21"/>
        </w:rPr>
      </w:pPr>
      <w:r w:rsidDel="00000000" w:rsidR="00000000" w:rsidRPr="00000000">
        <w:rPr>
          <w:rFonts w:ascii="Titillium" w:cs="Titillium" w:eastAsia="Titillium" w:hAnsi="Titillium"/>
          <w:color w:val="00000a"/>
          <w:sz w:val="21"/>
          <w:szCs w:val="21"/>
          <w:rtl w:val="0"/>
        </w:rPr>
        <w:t xml:space="preserve">sig/dott.(Cognome e nome) _______________________________________</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360" w:lineRule="auto"/>
        <w:ind w:left="502" w:right="424" w:firstLine="0"/>
        <w:jc w:val="both"/>
        <w:rPr>
          <w:rFonts w:ascii="Titillium" w:cs="Titillium" w:eastAsia="Titillium" w:hAnsi="Titillium"/>
          <w:color w:val="00000a"/>
          <w:sz w:val="21"/>
          <w:szCs w:val="21"/>
        </w:rPr>
      </w:pPr>
      <w:r w:rsidDel="00000000" w:rsidR="00000000" w:rsidRPr="00000000">
        <w:rPr>
          <w:rFonts w:ascii="Titillium" w:cs="Titillium" w:eastAsia="Titillium" w:hAnsi="Titillium"/>
          <w:color w:val="00000a"/>
          <w:sz w:val="21"/>
          <w:szCs w:val="21"/>
          <w:rtl w:val="0"/>
        </w:rPr>
        <w:t xml:space="preserve">nato/a il……………………….. a ……………….…………………………….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360" w:lineRule="auto"/>
        <w:ind w:left="502" w:right="424" w:firstLine="0"/>
        <w:jc w:val="both"/>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color w:val="00000a"/>
          <w:sz w:val="21"/>
          <w:szCs w:val="21"/>
          <w:rtl w:val="0"/>
        </w:rPr>
        <w:t xml:space="preserve">C.F:.…………………</w:t>
      </w:r>
      <w:r w:rsidDel="00000000" w:rsidR="00000000" w:rsidRPr="00000000">
        <w:rPr>
          <w:rFonts w:ascii="Titillium" w:cs="Titillium" w:eastAsia="Titillium" w:hAnsi="Titillium"/>
          <w:i w:val="1"/>
          <w:iCs w:val="1"/>
          <w:color w:val="000000"/>
          <w:sz w:val="21"/>
          <w:szCs w:val="21"/>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60" w:line="360" w:lineRule="auto"/>
        <w:ind w:left="502" w:right="424"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i w:val="1"/>
          <w:iCs w:val="1"/>
          <w:color w:val="000000"/>
          <w:sz w:val="21"/>
          <w:szCs w:val="21"/>
          <w:rtl w:val="0"/>
        </w:rPr>
        <w:t xml:space="preserve">(compilare la sezione di interesse)</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perché in possesso una partecipazione superiore al 25% del capitale sociale (</w:t>
      </w:r>
      <w:r w:rsidDel="00000000" w:rsidR="00000000" w:rsidRPr="00000000">
        <w:rPr>
          <w:rFonts w:ascii="Titillium" w:cs="Titillium" w:eastAsia="Titillium" w:hAnsi="Titillium"/>
          <w:i w:val="1"/>
          <w:iCs w:val="1"/>
          <w:color w:val="000000"/>
          <w:sz w:val="21"/>
          <w:szCs w:val="21"/>
          <w:u w:val="single"/>
          <w:rtl w:val="0"/>
        </w:rPr>
        <w:t xml:space="preserve">indicare la quota di partecipazione</w:t>
      </w:r>
      <w:r w:rsidDel="00000000" w:rsidR="00000000" w:rsidRPr="00000000">
        <w:rPr>
          <w:rFonts w:ascii="Titillium" w:cs="Titillium" w:eastAsia="Titillium" w:hAnsi="Titillium"/>
          <w:i w:val="1"/>
          <w:iCs w:val="1"/>
          <w:color w:val="000000"/>
          <w:sz w:val="21"/>
          <w:szCs w:val="21"/>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perché in possesso della maggioranza dei voti, ovvero in conseguenza di altri vincoli contrattuali (</w:t>
      </w:r>
      <w:r w:rsidDel="00000000" w:rsidR="00000000" w:rsidRPr="00000000">
        <w:rPr>
          <w:rFonts w:ascii="Titillium" w:cs="Titillium" w:eastAsia="Titillium" w:hAnsi="Titillium"/>
          <w:i w:val="1"/>
          <w:iCs w:val="1"/>
          <w:color w:val="000000"/>
          <w:sz w:val="21"/>
          <w:szCs w:val="21"/>
          <w:u w:val="single"/>
          <w:rtl w:val="0"/>
        </w:rPr>
        <w:t xml:space="preserve">specificare la circostanza</w:t>
      </w:r>
      <w:r w:rsidDel="00000000" w:rsidR="00000000" w:rsidRPr="00000000">
        <w:rPr>
          <w:rFonts w:ascii="Titillium" w:cs="Titillium" w:eastAsia="Titillium" w:hAnsi="Titillium"/>
          <w:i w:val="1"/>
          <w:iCs w:val="1"/>
          <w:color w:val="000000"/>
          <w:sz w:val="21"/>
          <w:szCs w:val="21"/>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u w:val="single"/>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perché esercita poteri di amministrazione o direzione della società (</w:t>
      </w:r>
      <w:r w:rsidDel="00000000" w:rsidR="00000000" w:rsidRPr="00000000">
        <w:rPr>
          <w:rFonts w:ascii="Titillium" w:cs="Titillium" w:eastAsia="Titillium" w:hAnsi="Titillium"/>
          <w:i w:val="1"/>
          <w:iCs w:val="1"/>
          <w:color w:val="000000"/>
          <w:sz w:val="21"/>
          <w:szCs w:val="21"/>
          <w:u w:val="single"/>
          <w:rtl w:val="0"/>
        </w:rPr>
        <w:t xml:space="preserve">specificare la circostanza</w:t>
      </w:r>
      <w:r w:rsidDel="00000000" w:rsidR="00000000" w:rsidRPr="00000000">
        <w:rPr>
          <w:rFonts w:ascii="Titillium" w:cs="Titillium" w:eastAsia="Titillium" w:hAnsi="Titillium"/>
          <w:i w:val="1"/>
          <w:iCs w:val="1"/>
          <w:color w:val="000000"/>
          <w:sz w:val="21"/>
          <w:szCs w:val="21"/>
          <w:rtl w:val="0"/>
        </w:rPr>
        <w:t xml:space="preserve">)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993" w:right="424" w:hanging="142.00000000000003"/>
        <w:jc w:val="both"/>
        <w:rPr>
          <w:rFonts w:ascii="Titillium" w:cs="Titillium" w:eastAsia="Titillium" w:hAnsi="Titillium"/>
          <w:i w:val="1"/>
          <w:iCs w:val="1"/>
          <w:color w:val="000000"/>
          <w:sz w:val="21"/>
          <w:szCs w:val="21"/>
        </w:rPr>
      </w:pPr>
      <w:r w:rsidDel="00000000" w:rsidR="00000000" w:rsidRPr="00000000">
        <w:rPr>
          <w:rtl w:val="0"/>
        </w:rPr>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spacing w:before="60" w:line="360" w:lineRule="auto"/>
        <w:ind w:left="502" w:right="424" w:hanging="360"/>
        <w:jc w:val="both"/>
        <w:rPr>
          <w:rFonts w:ascii="Titillium" w:cs="Titillium" w:eastAsia="Titillium" w:hAnsi="Titillium"/>
          <w:i w:val="1"/>
          <w:iCs w:val="1"/>
          <w:color w:val="00000a"/>
          <w:sz w:val="21"/>
          <w:szCs w:val="21"/>
        </w:rPr>
      </w:pPr>
      <w:r w:rsidDel="00000000" w:rsidR="00000000" w:rsidRPr="00000000">
        <w:rPr>
          <w:rFonts w:ascii="Titillium" w:cs="Titillium" w:eastAsia="Titillium" w:hAnsi="Titillium"/>
          <w:color w:val="000000"/>
          <w:sz w:val="21"/>
          <w:szCs w:val="21"/>
          <w:rtl w:val="0"/>
        </w:rPr>
        <w:t xml:space="preserve">che il “Titolare effettivo” si impegna a comunicare, rispetto agli elementi forniti in corso di gara, ogni successiva modifica ai fini dell’identificazione del titolare effettivo dell’operatore economico;</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360" w:lineRule="auto"/>
        <w:ind w:left="502" w:right="424" w:firstLine="0"/>
        <w:jc w:val="both"/>
        <w:rPr>
          <w:rFonts w:ascii="Titillium" w:cs="Titillium" w:eastAsia="Titillium" w:hAnsi="Titillium"/>
          <w:i w:val="1"/>
          <w:iCs w:val="1"/>
          <w:color w:val="00000a"/>
          <w:sz w:val="21"/>
          <w:szCs w:val="21"/>
        </w:rPr>
      </w:pP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che assumono il ruolo di “Titolari effettivi” ex art. 22 Reg. 241/2021 anche i seguenti soggetti: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360" w:lineRule="auto"/>
        <w:ind w:left="644" w:right="424"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Cognome-Nome e Codice Fiscale: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360" w:lineRule="auto"/>
        <w:ind w:left="644" w:right="424"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Cognome-Nome e Codice Fiscale: ……</w:t>
      </w:r>
    </w:p>
    <w:p w:rsidR="00000000" w:rsidDel="00000000" w:rsidP="00000000" w:rsidRDefault="00000000" w:rsidRPr="00000000" w14:paraId="000000E5">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spacing w:after="60" w:before="60" w:line="360" w:lineRule="auto"/>
        <w:ind w:left="502" w:right="424"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allegare la seguente documentazione</w:t>
      </w:r>
      <w:r w:rsidDel="00000000" w:rsidR="00000000" w:rsidRPr="00000000">
        <w:rPr>
          <w:rFonts w:ascii="Titillium" w:cs="Titillium" w:eastAsia="Titillium" w:hAnsi="Titillium"/>
          <w:color w:val="000000"/>
          <w:sz w:val="21"/>
          <w:szCs w:val="21"/>
          <w:vertAlign w:val="superscript"/>
        </w:rPr>
        <w:footnoteReference w:customMarkFollows="0" w:id="0"/>
      </w: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after="60" w:before="60" w:line="360" w:lineRule="auto"/>
        <w:ind w:left="714" w:right="424"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PASSOE firmato digitalmente;</w:t>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60" w:before="60" w:line="360" w:lineRule="auto"/>
        <w:ind w:left="714" w:right="424"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proprio DGUE firmato digitalmente;</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tabs>
          <w:tab w:val="left" w:leader="none" w:pos="426"/>
        </w:tabs>
        <w:spacing w:after="60" w:before="60" w:line="360" w:lineRule="auto"/>
        <w:ind w:left="714" w:right="424"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copia della procura;</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tabs>
          <w:tab w:val="left" w:leader="none" w:pos="426"/>
        </w:tabs>
        <w:spacing w:after="60" w:before="60" w:line="360" w:lineRule="auto"/>
        <w:ind w:left="714" w:right="424"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i w:val="1"/>
          <w:iCs w:val="1"/>
          <w:color w:val="000000"/>
          <w:sz w:val="21"/>
          <w:szCs w:val="21"/>
          <w:rtl w:val="0"/>
        </w:rPr>
        <w:t xml:space="preserve">(</w:t>
      </w:r>
      <w:r w:rsidDel="00000000" w:rsidR="00000000" w:rsidRPr="00000000">
        <w:rPr>
          <w:rFonts w:ascii="Titillium" w:cs="Titillium" w:eastAsia="Titillium" w:hAnsi="Titillium"/>
          <w:b w:val="1"/>
          <w:bCs w:val="1"/>
          <w:i w:val="1"/>
          <w:iCs w:val="1"/>
          <w:color w:val="000000"/>
          <w:sz w:val="21"/>
          <w:szCs w:val="21"/>
          <w:rtl w:val="0"/>
        </w:rPr>
        <w:t xml:space="preserve">solo per operatori economici tenuti alla redazione del rapporto sulla situazione del personale</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b w:val="1"/>
          <w:bCs w:val="1"/>
          <w:i w:val="1"/>
          <w:iCs w:val="1"/>
          <w:color w:val="000000"/>
          <w:sz w:val="21"/>
          <w:szCs w:val="21"/>
          <w:rtl w:val="0"/>
        </w:rPr>
        <w:t xml:space="preserve">ai sensi dell’art. 46 del decreto legislativo 11 aprile 2006, n. 198</w:t>
      </w:r>
      <w:r w:rsidDel="00000000" w:rsidR="00000000" w:rsidRPr="00000000">
        <w:rPr>
          <w:rFonts w:ascii="Titillium" w:cs="Titillium" w:eastAsia="Titillium" w:hAnsi="Titillium"/>
          <w:i w:val="1"/>
          <w:iCs w:val="1"/>
          <w:color w:val="000000"/>
          <w:sz w:val="21"/>
          <w:szCs w:val="21"/>
          <w:rtl w:val="0"/>
        </w:rPr>
        <w:t xml:space="preserve">) </w:t>
      </w:r>
      <w:r w:rsidDel="00000000" w:rsidR="00000000" w:rsidRPr="00000000">
        <w:rPr>
          <w:rFonts w:ascii="Titillium" w:cs="Titillium" w:eastAsia="Titillium" w:hAnsi="Titillium"/>
          <w:color w:val="000000"/>
          <w:sz w:val="21"/>
          <w:szCs w:val="21"/>
          <w:rtl w:val="0"/>
        </w:rPr>
        <w:t xml:space="preserve">copia dell'ultimo rapporto redatto, con attestazione della  sua conformità a quello trasmesso alle rappresentanze sindacali aziendali e alla consigliera e al consigliere regionale di parità ai sensi del secondo comma dell’art. 46 del decreto legislativo 11 aprile 2006, n. 198 , ovvero, in caso di inosservanza dei termini previsti dal comma 1 del medesimo articolo 46, con attestazione della sua contestuale trasmissione alle rappresentanze sindacali aziendali e alla consigliera e al consigliere regionale di parità; </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tabs>
          <w:tab w:val="left" w:leader="none" w:pos="426"/>
        </w:tabs>
        <w:spacing w:after="60" w:before="60" w:line="360" w:lineRule="auto"/>
        <w:ind w:left="714" w:right="424"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(altra documentazione, da specificare ...).</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426"/>
        </w:tabs>
        <w:spacing w:after="60" w:before="60" w:line="360" w:lineRule="auto"/>
        <w:ind w:left="714" w:right="424"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426"/>
        </w:tabs>
        <w:spacing w:after="60" w:before="60" w:line="360" w:lineRule="auto"/>
        <w:ind w:left="714" w:right="424" w:firstLine="0"/>
        <w:jc w:val="both"/>
        <w:rPr>
          <w:rFonts w:ascii="Titillium" w:cs="Titillium" w:eastAsia="Titillium" w:hAnsi="Titillium"/>
          <w:color w:val="000000"/>
          <w:sz w:val="21"/>
          <w:szCs w:val="21"/>
        </w:rPr>
      </w:pPr>
      <w:bookmarkStart w:colFirst="0" w:colLast="0" w:name="_heading=h.gjdgxs" w:id="10"/>
      <w:bookmarkEnd w:id="10"/>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Letto, confermato e sottoscritto. </w:t>
        <w:tab/>
        <w:tab/>
        <w:tab/>
        <w:tab/>
        <w:tab/>
      </w:r>
    </w:p>
    <w:p w:rsidR="00000000" w:rsidDel="00000000" w:rsidP="00000000" w:rsidRDefault="00000000" w:rsidRPr="00000000" w14:paraId="000000EF">
      <w:pPr>
        <w:tabs>
          <w:tab w:val="left" w:leader="none" w:pos="2880"/>
        </w:tabs>
        <w:jc w:val="right"/>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tab/>
        <w:tab/>
        <w:tab/>
        <w:tab/>
        <w:tab/>
        <w:t xml:space="preserve">FIRMA DEL DICHIARANTE</w:t>
      </w:r>
    </w:p>
    <w:p w:rsidR="00000000" w:rsidDel="00000000" w:rsidP="00000000" w:rsidRDefault="00000000" w:rsidRPr="00000000" w14:paraId="000000F0">
      <w:pPr>
        <w:jc w:val="right"/>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Documento informatico firmato digitalmente ai sensi </w:t>
      </w:r>
    </w:p>
    <w:p w:rsidR="00000000" w:rsidDel="00000000" w:rsidP="00000000" w:rsidRDefault="00000000" w:rsidRPr="00000000" w14:paraId="000000F1">
      <w:pPr>
        <w:jc w:val="right"/>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del D.lgs. 235/2010 e del D.P.R. n. 445/2000 e norme collegate,</w:t>
      </w:r>
    </w:p>
    <w:p w:rsidR="00000000" w:rsidDel="00000000" w:rsidP="00000000" w:rsidRDefault="00000000" w:rsidRPr="00000000" w14:paraId="000000F2">
      <w:pPr>
        <w:jc w:val="right"/>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 il quale sostituisce il documento cartaceo e la firma autografa</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60" w:before="60" w:line="360" w:lineRule="auto"/>
        <w:ind w:right="424"/>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NB: caricare sul portale tutta la documentazione di gara in formato &lt;&lt; .pdf&gt;&gt; firmata digitalmente secondo quanto previsto dal disciplinare.</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b w:val="1"/>
          <w:bCs w:val="1"/>
        </w:rPr>
      </w:pP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FD">
      <w:pPr>
        <w:ind w:left="6096" w:firstLine="0"/>
        <w:jc w:val="both"/>
        <w:rPr>
          <w:b w:val="1"/>
          <w:bCs w:val="1"/>
        </w:rPr>
      </w:pPr>
      <w:r w:rsidDel="00000000" w:rsidR="00000000" w:rsidRPr="00000000">
        <w:rPr>
          <w:rtl w:val="0"/>
        </w:rPr>
      </w:r>
    </w:p>
    <w:p w:rsidR="00000000" w:rsidDel="00000000" w:rsidP="00000000" w:rsidRDefault="00000000" w:rsidRPr="00000000" w14:paraId="000000FE">
      <w:pPr>
        <w:ind w:left="6096" w:firstLine="0"/>
        <w:jc w:val="both"/>
        <w:rPr/>
      </w:pPr>
      <w:r w:rsidDel="00000000" w:rsidR="00000000" w:rsidRPr="00000000">
        <w:rPr>
          <w:rtl w:val="0"/>
        </w:rPr>
      </w:r>
    </w:p>
    <w:sectPr>
      <w:headerReference r:id="rId10" w:type="first"/>
      <w:footerReference r:id="rId11" w:type="default"/>
      <w:footerReference r:id="rId12" w:type="first"/>
      <w:pgSz w:h="16838" w:w="11906" w:orient="portrait"/>
      <w:pgMar w:bottom="1134" w:top="1417" w:left="1134" w:right="1134" w:header="56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rial"/>
  <w:font w:name="Titilium"/>
  <w:font w:name="Titillium"/>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10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814"/>
      <w:tblGridChange w:id="0">
        <w:tblGrid>
          <w:gridCol w:w="5245"/>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659890" cy="250190"/>
                <wp:effectExtent b="0" l="0" r="0" t="0"/>
                <wp:docPr descr="Immagine che contiene testo&#10;&#10;Descrizione generata automaticamente" id="2038907152"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1659890" cy="25019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7"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9"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Istituto di Astrofisica e Planetologia Spaziali</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   -   Via del Fosso del Cavaliere 100   -   00133   -   Roma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.F. 97220210583 – P.I. 06895721006</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Eliminare i documenti non pertinenti e riportare solo i documenti che effettivamente si allegano.</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1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13"/>
      <w:tblGridChange w:id="0">
        <w:tblGrid>
          <w:gridCol w:w="4815"/>
          <w:gridCol w:w="4813"/>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38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710180" cy="408940"/>
                <wp:effectExtent b="0" l="0" r="0" t="0"/>
                <wp:docPr descr="Immagine che contiene testo&#10;&#10;Descrizione generata automaticamente" id="2038907151"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2710180" cy="4089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28650" cy="735330"/>
                <wp:effectExtent b="0" l="0" r="0" t="0"/>
                <wp:docPr id="203890715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28650" cy="7353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8"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366" w:hanging="360"/>
      </w:pPr>
      <w:rPr>
        <w:rFonts w:ascii="Times New Roman" w:cs="Times New Roman" w:eastAsia="Times New Roman" w:hAnsi="Times New Roman"/>
        <w:b w:val="1"/>
        <w:bCs w:val="1"/>
        <w:color w:val="00000a"/>
        <w:sz w:val="22"/>
        <w:szCs w:val="22"/>
        <w:u w:val="none"/>
      </w:rPr>
    </w:lvl>
    <w:lvl w:ilvl="1">
      <w:start w:val="1"/>
      <w:numFmt w:val="bullet"/>
      <w:lvlText w:val="o"/>
      <w:lvlJc w:val="left"/>
      <w:pPr>
        <w:ind w:left="1086" w:hanging="360"/>
      </w:pPr>
      <w:rPr>
        <w:rFonts w:ascii="Courier New" w:cs="Courier New" w:eastAsia="Courier New" w:hAnsi="Courier New"/>
      </w:rPr>
    </w:lvl>
    <w:lvl w:ilvl="2">
      <w:start w:val="1"/>
      <w:numFmt w:val="bullet"/>
      <w:lvlText w:val="▪"/>
      <w:lvlJc w:val="left"/>
      <w:pPr>
        <w:ind w:left="1806" w:hanging="360"/>
      </w:pPr>
      <w:rPr>
        <w:rFonts w:ascii="Noto Sans Symbols" w:cs="Noto Sans Symbols" w:eastAsia="Noto Sans Symbols" w:hAnsi="Noto Sans Symbols"/>
        <w:b w:val="1"/>
        <w:bCs w:val="1"/>
        <w:sz w:val="22"/>
        <w:szCs w:val="22"/>
      </w:rPr>
    </w:lvl>
    <w:lvl w:ilvl="3">
      <w:start w:val="1"/>
      <w:numFmt w:val="bullet"/>
      <w:lvlText w:val="●"/>
      <w:lvlJc w:val="left"/>
      <w:pPr>
        <w:ind w:left="2526" w:hanging="360"/>
      </w:pPr>
      <w:rPr>
        <w:rFonts w:ascii="Noto Sans Symbols" w:cs="Noto Sans Symbols" w:eastAsia="Noto Sans Symbols" w:hAnsi="Noto Sans Symbols"/>
        <w:b w:val="1"/>
        <w:bCs w:val="1"/>
        <w:sz w:val="22"/>
        <w:szCs w:val="22"/>
      </w:rPr>
    </w:lvl>
    <w:lvl w:ilvl="4">
      <w:start w:val="1"/>
      <w:numFmt w:val="bullet"/>
      <w:lvlText w:val="o"/>
      <w:lvlJc w:val="left"/>
      <w:pPr>
        <w:ind w:left="3246" w:hanging="360"/>
      </w:pPr>
      <w:rPr>
        <w:rFonts w:ascii="Courier New" w:cs="Courier New" w:eastAsia="Courier New" w:hAnsi="Courier New"/>
      </w:rPr>
    </w:lvl>
    <w:lvl w:ilvl="5">
      <w:start w:val="1"/>
      <w:numFmt w:val="bullet"/>
      <w:lvlText w:val="▪"/>
      <w:lvlJc w:val="left"/>
      <w:pPr>
        <w:ind w:left="3966" w:hanging="360"/>
      </w:pPr>
      <w:rPr>
        <w:rFonts w:ascii="Noto Sans Symbols" w:cs="Noto Sans Symbols" w:eastAsia="Noto Sans Symbols" w:hAnsi="Noto Sans Symbols"/>
        <w:b w:val="1"/>
        <w:bCs w:val="1"/>
        <w:sz w:val="22"/>
        <w:szCs w:val="22"/>
      </w:rPr>
    </w:lvl>
    <w:lvl w:ilvl="6">
      <w:start w:val="1"/>
      <w:numFmt w:val="bullet"/>
      <w:lvlText w:val="●"/>
      <w:lvlJc w:val="left"/>
      <w:pPr>
        <w:ind w:left="4686" w:hanging="360"/>
      </w:pPr>
      <w:rPr>
        <w:rFonts w:ascii="Noto Sans Symbols" w:cs="Noto Sans Symbols" w:eastAsia="Noto Sans Symbols" w:hAnsi="Noto Sans Symbols"/>
        <w:b w:val="1"/>
        <w:bCs w:val="1"/>
        <w:sz w:val="22"/>
        <w:szCs w:val="22"/>
      </w:rPr>
    </w:lvl>
    <w:lvl w:ilvl="7">
      <w:start w:val="1"/>
      <w:numFmt w:val="bullet"/>
      <w:lvlText w:val="o"/>
      <w:lvlJc w:val="left"/>
      <w:pPr>
        <w:ind w:left="5406" w:hanging="360"/>
      </w:pPr>
      <w:rPr>
        <w:rFonts w:ascii="Courier New" w:cs="Courier New" w:eastAsia="Courier New" w:hAnsi="Courier New"/>
      </w:rPr>
    </w:lvl>
    <w:lvl w:ilvl="8">
      <w:start w:val="1"/>
      <w:numFmt w:val="bullet"/>
      <w:lvlText w:val="▪"/>
      <w:lvlJc w:val="left"/>
      <w:pPr>
        <w:ind w:left="6126" w:hanging="360"/>
      </w:pPr>
      <w:rPr>
        <w:rFonts w:ascii="Noto Sans Symbols" w:cs="Noto Sans Symbols" w:eastAsia="Noto Sans Symbols" w:hAnsi="Noto Sans Symbols"/>
        <w:b w:val="1"/>
        <w:bCs w:val="1"/>
        <w:sz w:val="22"/>
        <w:szCs w:val="22"/>
      </w:rPr>
    </w:lvl>
  </w:abstractNum>
  <w:abstractNum w:abstractNumId="2">
    <w:lvl w:ilvl="0">
      <w:start w:val="1"/>
      <w:numFmt w:val="upperLetter"/>
      <w:lvlText w:val="%1."/>
      <w:lvlJc w:val="left"/>
      <w:pPr>
        <w:ind w:left="567" w:hanging="567"/>
      </w:pPr>
      <w:rPr>
        <w:rFonts w:ascii="Arial" w:cs="Arial" w:eastAsia="Arial" w:hAnsi="Arial"/>
        <w:b w:val="0"/>
        <w:bCs w:val="0"/>
        <w:i w:val="0"/>
        <w:iCs w:val="0"/>
        <w:sz w:val="20"/>
        <w:szCs w:val="20"/>
      </w:rPr>
    </w:lvl>
    <w:lvl w:ilvl="1">
      <w:start w:val="1"/>
      <w:numFmt w:val="decimal"/>
      <w:lvlText w:val="%2)"/>
      <w:lvlJc w:val="left"/>
      <w:pPr>
        <w:ind w:left="23" w:hanging="360"/>
      </w:pPr>
      <w:rPr/>
    </w:lvl>
    <w:lvl w:ilvl="2">
      <w:start w:val="1"/>
      <w:numFmt w:val="bullet"/>
      <w:lvlText w:val="⮚"/>
      <w:lvlJc w:val="left"/>
      <w:pPr>
        <w:ind w:left="923" w:hanging="360"/>
      </w:pPr>
      <w:rPr>
        <w:rFonts w:ascii="Noto Sans Symbols" w:cs="Noto Sans Symbols" w:eastAsia="Noto Sans Symbols" w:hAnsi="Noto Sans Symbols"/>
      </w:rPr>
    </w:lvl>
    <w:lvl w:ilvl="3">
      <w:start w:val="1"/>
      <w:numFmt w:val="bullet"/>
      <w:lvlText w:val="⮚"/>
      <w:lvlJc w:val="left"/>
      <w:pPr>
        <w:ind w:left="1463" w:hanging="360"/>
      </w:pPr>
      <w:rPr>
        <w:rFonts w:ascii="Noto Sans Symbols" w:cs="Noto Sans Symbols" w:eastAsia="Noto Sans Symbols" w:hAnsi="Noto Sans Symbols"/>
      </w:rPr>
    </w:lvl>
    <w:lvl w:ilvl="4">
      <w:start w:val="1"/>
      <w:numFmt w:val="lowerLetter"/>
      <w:lvlText w:val="%5."/>
      <w:lvlJc w:val="left"/>
      <w:pPr>
        <w:ind w:left="2183" w:hanging="360"/>
      </w:pPr>
      <w:rPr/>
    </w:lvl>
    <w:lvl w:ilvl="5">
      <w:start w:val="1"/>
      <w:numFmt w:val="lowerRoman"/>
      <w:lvlText w:val="%6."/>
      <w:lvlJc w:val="right"/>
      <w:pPr>
        <w:ind w:left="2903" w:hanging="180"/>
      </w:pPr>
      <w:rPr/>
    </w:lvl>
    <w:lvl w:ilvl="6">
      <w:start w:val="1"/>
      <w:numFmt w:val="decimal"/>
      <w:lvlText w:val="%7."/>
      <w:lvlJc w:val="left"/>
      <w:pPr>
        <w:ind w:left="3623" w:hanging="360"/>
      </w:pPr>
      <w:rPr/>
    </w:lvl>
    <w:lvl w:ilvl="7">
      <w:start w:val="1"/>
      <w:numFmt w:val="lowerLetter"/>
      <w:lvlText w:val="%8."/>
      <w:lvlJc w:val="left"/>
      <w:pPr>
        <w:ind w:left="4343" w:hanging="360"/>
      </w:pPr>
      <w:rPr/>
    </w:lvl>
    <w:lvl w:ilvl="8">
      <w:start w:val="1"/>
      <w:numFmt w:val="lowerRoman"/>
      <w:lvlText w:val="%9."/>
      <w:lvlJc w:val="right"/>
      <w:pPr>
        <w:ind w:left="5063" w:hanging="180"/>
      </w:pPr>
      <w:rPr/>
    </w:lvl>
  </w:abstractNum>
  <w:abstractNum w:abstractNumId="3">
    <w:lvl w:ilvl="0">
      <w:start w:val="1"/>
      <w:numFmt w:val="bullet"/>
      <w:lvlText w:val="⮚"/>
      <w:lvlJc w:val="left"/>
      <w:pPr>
        <w:ind w:left="1069" w:hanging="567"/>
      </w:pPr>
      <w:rPr>
        <w:rFonts w:ascii="Noto Sans Symbols" w:cs="Noto Sans Symbols" w:eastAsia="Noto Sans Symbols" w:hAnsi="Noto Sans Symbols"/>
        <w:b w:val="0"/>
        <w:bCs w:val="0"/>
        <w:i w:val="0"/>
        <w:iCs w:val="0"/>
        <w:sz w:val="20"/>
        <w:szCs w:val="20"/>
      </w:rPr>
    </w:lvl>
    <w:lvl w:ilvl="1">
      <w:start w:val="1"/>
      <w:numFmt w:val="decimal"/>
      <w:lvlText w:val="%2)"/>
      <w:lvlJc w:val="left"/>
      <w:pPr>
        <w:ind w:left="525" w:hanging="360"/>
      </w:pPr>
      <w:rPr/>
    </w:lvl>
    <w:lvl w:ilvl="2">
      <w:start w:val="1"/>
      <w:numFmt w:val="bullet"/>
      <w:lvlText w:val="⮚"/>
      <w:lvlJc w:val="left"/>
      <w:pPr>
        <w:ind w:left="1425" w:hanging="360"/>
      </w:pPr>
      <w:rPr>
        <w:rFonts w:ascii="Noto Sans Symbols" w:cs="Noto Sans Symbols" w:eastAsia="Noto Sans Symbols" w:hAnsi="Noto Sans Symbols"/>
      </w:rPr>
    </w:lvl>
    <w:lvl w:ilvl="3">
      <w:start w:val="1"/>
      <w:numFmt w:val="bullet"/>
      <w:lvlText w:val="⮚"/>
      <w:lvlJc w:val="left"/>
      <w:pPr>
        <w:ind w:left="1965" w:hanging="360"/>
      </w:pPr>
      <w:rPr>
        <w:rFonts w:ascii="Noto Sans Symbols" w:cs="Noto Sans Symbols" w:eastAsia="Noto Sans Symbols" w:hAnsi="Noto Sans Symbols"/>
      </w:rPr>
    </w:lvl>
    <w:lvl w:ilvl="4">
      <w:start w:val="1"/>
      <w:numFmt w:val="lowerLetter"/>
      <w:lvlText w:val="%5."/>
      <w:lvlJc w:val="left"/>
      <w:pPr>
        <w:ind w:left="2685" w:hanging="360"/>
      </w:pPr>
      <w:rPr/>
    </w:lvl>
    <w:lvl w:ilvl="5">
      <w:start w:val="1"/>
      <w:numFmt w:val="lowerRoman"/>
      <w:lvlText w:val="%6."/>
      <w:lvlJc w:val="right"/>
      <w:pPr>
        <w:ind w:left="3405" w:hanging="180"/>
      </w:pPr>
      <w:rPr/>
    </w:lvl>
    <w:lvl w:ilvl="6">
      <w:start w:val="1"/>
      <w:numFmt w:val="decimal"/>
      <w:lvlText w:val="%7."/>
      <w:lvlJc w:val="left"/>
      <w:pPr>
        <w:ind w:left="4125" w:hanging="360"/>
      </w:pPr>
      <w:rPr/>
    </w:lvl>
    <w:lvl w:ilvl="7">
      <w:start w:val="1"/>
      <w:numFmt w:val="lowerLetter"/>
      <w:lvlText w:val="%8."/>
      <w:lvlJc w:val="left"/>
      <w:pPr>
        <w:ind w:left="4845" w:hanging="360"/>
      </w:pPr>
      <w:rPr/>
    </w:lvl>
    <w:lvl w:ilvl="8">
      <w:start w:val="1"/>
      <w:numFmt w:val="lowerRoman"/>
      <w:lvlText w:val="%9."/>
      <w:lvlJc w:val="right"/>
      <w:pPr>
        <w:ind w:left="5565" w:hanging="180"/>
      </w:pPr>
      <w:rPr/>
    </w:lvl>
  </w:abstractNum>
  <w:abstractNum w:abstractNumId="4">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after="280" w:before="280" w:lineRule="auto"/>
      <w:ind w:left="0" w:firstLine="0"/>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IntestazioneCarattere" w:customStyle="1">
    <w:name w:val="Intestazione Carattere"/>
    <w:basedOn w:val="Carpredefinitoparagrafo"/>
    <w:link w:val="Intestazione"/>
    <w:uiPriority w:val="99"/>
    <w:qFormat w:val="1"/>
    <w:rsid w:val="00305FD7"/>
  </w:style>
  <w:style w:type="character" w:styleId="PidipaginaCarattere" w:customStyle="1">
    <w:name w:val="Piè di pagina Carattere"/>
    <w:basedOn w:val="Carpredefinitoparagrafo"/>
    <w:link w:val="Pidipagina"/>
    <w:uiPriority w:val="99"/>
    <w:qFormat w:val="1"/>
    <w:rsid w:val="00305FD7"/>
  </w:style>
  <w:style w:type="character" w:styleId="Enfasigrassetto">
    <w:name w:val="Strong"/>
    <w:basedOn w:val="Carpredefinitoparagrafo"/>
    <w:qFormat w:val="1"/>
    <w:rPr>
      <w:b w:val="1"/>
      <w:bCs w:val="1"/>
    </w:rPr>
  </w:style>
  <w:style w:type="character" w:styleId="Caratterinotaapidipagina" w:customStyle="1">
    <w:name w:val="Caratteri nota a piè di pagina"/>
    <w:qFormat w:val="1"/>
  </w:style>
  <w:style w:type="character" w:styleId="Rimandonotaapidipagina1" w:customStyle="1">
    <w:name w:val="Rimando nota a piè di pagina1"/>
    <w:qFormat w:val="1"/>
    <w:rPr>
      <w:vertAlign w:val="superscript"/>
    </w:rPr>
  </w:style>
  <w:style w:type="character" w:styleId="Rimandonotadichiusura1" w:customStyle="1">
    <w:name w:val="Rimando nota di chiusura1"/>
    <w:qFormat w:val="1"/>
    <w:rPr>
      <w:vertAlign w:val="superscript"/>
    </w:rPr>
  </w:style>
  <w:style w:type="character" w:styleId="Caratterinotadichiusura" w:customStyle="1">
    <w:name w:val="Caratteri nota di chiusura"/>
    <w:qFormat w:val="1"/>
  </w:style>
  <w:style w:type="character" w:styleId="Punti" w:customStyle="1">
    <w:name w:val="Punti"/>
    <w:qFormat w:val="1"/>
    <w:rPr>
      <w:rFonts w:ascii="OpenSymbol" w:cs="OpenSymbol" w:eastAsia="OpenSymbol" w:hAnsi="OpenSymbol"/>
    </w:rPr>
  </w:style>
  <w:style w:type="character" w:styleId="Titolo4Carattere" w:customStyle="1">
    <w:name w:val="Titolo 4 Carattere"/>
    <w:basedOn w:val="Carpredefinitoparagrafo"/>
    <w:link w:val="Titolo4"/>
    <w:qFormat w:val="1"/>
    <w:rsid w:val="00632078"/>
    <w:rPr>
      <w:rFonts w:ascii="Times New Roman" w:cs="Times New Roman" w:eastAsia="Times New Roman" w:hAnsi="Times New Roman"/>
      <w:b w:val="1"/>
      <w:bCs w:val="1"/>
      <w:lang w:eastAsia="zh-CN"/>
    </w:rPr>
  </w:style>
  <w:style w:type="character" w:styleId="SottotitoloCarattere" w:customStyle="1">
    <w:name w:val="Sottotitolo Carattere"/>
    <w:basedOn w:val="Carpredefinitoparagrafo"/>
    <w:link w:val="Sottotitolo"/>
    <w:qFormat w:val="1"/>
    <w:rsid w:val="00632078"/>
    <w:rPr>
      <w:rFonts w:ascii="Liberation Sans" w:cs="Noto Sans Devanagari" w:eastAsia="Noto Sans CJK SC" w:hAnsi="Liberation Sans"/>
      <w:sz w:val="36"/>
      <w:szCs w:val="36"/>
      <w:lang w:eastAsia="zh-CN"/>
    </w:rPr>
  </w:style>
  <w:style w:type="character" w:styleId="Collegamentoipertestuale">
    <w:name w:val="Hyperlink"/>
    <w:basedOn w:val="Carpredefinitoparagrafo"/>
    <w:rPr>
      <w:color w:val="0563c1"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val="1"/>
    <w:pPr>
      <w:suppressLineNumbers w:val="1"/>
      <w:spacing w:after="120" w:before="120"/>
    </w:pPr>
    <w:rPr>
      <w:rFonts w:cs="Lohit Devanagari"/>
      <w:i w:val="1"/>
      <w:iCs w:val="1"/>
    </w:rPr>
  </w:style>
  <w:style w:type="paragraph" w:styleId="Indice" w:customStyle="1">
    <w:name w:val="Indice"/>
    <w:basedOn w:val="Normale"/>
    <w:qFormat w:val="1"/>
    <w:pPr>
      <w:suppressLineNumbers w:val="1"/>
    </w:pPr>
    <w:rPr>
      <w:rFonts w:cs="Lohit Devanagari"/>
    </w:r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305FD7"/>
    <w:pPr>
      <w:tabs>
        <w:tab w:val="center" w:pos="4819"/>
        <w:tab w:val="right" w:pos="9638"/>
      </w:tabs>
    </w:pPr>
  </w:style>
  <w:style w:type="paragraph" w:styleId="Pidipagina">
    <w:name w:val="footer"/>
    <w:basedOn w:val="Normale"/>
    <w:link w:val="PidipaginaCarattere"/>
    <w:uiPriority w:val="99"/>
    <w:unhideWhenUsed w:val="1"/>
    <w:rsid w:val="00305FD7"/>
    <w:pPr>
      <w:tabs>
        <w:tab w:val="center" w:pos="4819"/>
        <w:tab w:val="right" w:pos="9638"/>
      </w:tabs>
    </w:pPr>
  </w:style>
  <w:style w:type="paragraph" w:styleId="Contenutocornice" w:customStyle="1">
    <w:name w:val="Contenuto cornice"/>
    <w:basedOn w:val="Normale"/>
    <w:qFormat w:val="1"/>
  </w:style>
  <w:style w:type="paragraph" w:styleId="Testonotaapidipagina">
    <w:name w:val="footnote text"/>
    <w:basedOn w:val="Normale"/>
    <w:pPr>
      <w:suppressLineNumbers w:val="1"/>
      <w:ind w:left="340" w:hanging="340"/>
    </w:pPr>
    <w:rPr>
      <w:sz w:val="20"/>
      <w:szCs w:val="20"/>
    </w:rPr>
  </w:style>
  <w:style w:type="paragraph" w:styleId="LO-normal" w:customStyle="1">
    <w:name w:val="LO-normal"/>
    <w:qFormat w:val="1"/>
  </w:style>
  <w:style w:type="paragraph" w:styleId="Paragrafoelenco">
    <w:name w:val="List Paragraph"/>
    <w:basedOn w:val="Normale"/>
    <w:uiPriority w:val="34"/>
    <w:qFormat w:val="1"/>
    <w:rsid w:val="002D362F"/>
    <w:pPr>
      <w:suppressAutoHyphens w:val="0"/>
      <w:spacing w:after="160" w:line="259" w:lineRule="auto"/>
      <w:ind w:left="720"/>
      <w:contextualSpacing w:val="1"/>
    </w:pPr>
    <w:rPr>
      <w:rFonts w:ascii="Calibri" w:cs="Times New Roman" w:eastAsia="Calibri" w:hAnsi="Calibri"/>
      <w:sz w:val="22"/>
      <w:szCs w:val="22"/>
    </w:rPr>
  </w:style>
  <w:style w:type="paragraph" w:styleId="Contenutotabella" w:customStyle="1">
    <w:name w:val="Contenuto tabella"/>
    <w:basedOn w:val="Normale"/>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NormaleWeb">
    <w:name w:val="Normal (Web)"/>
    <w:basedOn w:val="Normale"/>
    <w:unhideWhenUsed w:val="1"/>
    <w:qFormat w:val="1"/>
    <w:rsid w:val="00241BC2"/>
    <w:pPr>
      <w:suppressAutoHyphens w:val="0"/>
      <w:spacing w:afterAutospacing="1" w:beforeAutospacing="1"/>
    </w:pPr>
    <w:rPr>
      <w:rFonts w:ascii="Times New Roman" w:cs="Times New Roman" w:eastAsia="Times New Roman" w:hAnsi="Times New Roman"/>
      <w:lang w:eastAsia="it-IT"/>
    </w:rPr>
  </w:style>
  <w:style w:type="paragraph" w:styleId="Default" w:customStyle="1">
    <w:name w:val="Default"/>
    <w:qFormat w:val="1"/>
    <w:rPr>
      <w:rFonts w:ascii="Times New Roman" w:cs="Times New Roman" w:hAnsi="Times New Roman"/>
      <w:color w:val="000000"/>
    </w:rPr>
  </w:style>
  <w:style w:type="table" w:styleId="Grigliatabella">
    <w:name w:val="Table Grid"/>
    <w:basedOn w:val="Tabellanormale"/>
    <w:uiPriority w:val="39"/>
    <w:rsid w:val="00305F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eformattatoHTML">
    <w:name w:val="HTML Preformatted"/>
    <w:basedOn w:val="Normale"/>
    <w:link w:val="PreformattatoHTMLCarattere"/>
    <w:uiPriority w:val="99"/>
    <w:semiHidden w:val="1"/>
    <w:unhideWhenUsed w:val="1"/>
    <w:rsid w:val="00671A4B"/>
    <w:rPr>
      <w:rFonts w:ascii="Consolas" w:hAnsi="Consolas"/>
      <w:sz w:val="20"/>
      <w:szCs w:val="20"/>
    </w:rPr>
  </w:style>
  <w:style w:type="character" w:styleId="PreformattatoHTMLCarattere" w:customStyle="1">
    <w:name w:val="Preformattato HTML Carattere"/>
    <w:basedOn w:val="Carpredefinitoparagrafo"/>
    <w:link w:val="PreformattatoHTML"/>
    <w:uiPriority w:val="99"/>
    <w:semiHidden w:val="1"/>
    <w:rsid w:val="00671A4B"/>
    <w:rPr>
      <w:rFonts w:ascii="Consolas" w:hAnsi="Consolas"/>
      <w:sz w:val="20"/>
      <w:szCs w:val="20"/>
    </w:rPr>
  </w:style>
  <w:style w:type="paragraph" w:styleId="Subtitle">
    <w:name w:val="Subtitle"/>
    <w:basedOn w:val="Normal"/>
    <w:next w:val="Normal"/>
    <w:pPr>
      <w:keepNext w:val="1"/>
      <w:spacing w:after="120" w:before="60" w:line="276"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www.inaf.it/it/amministrazione-trasparente/disposizioni-generali/atti"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L+1cEum8QD2NSeN07ORjziMPzg==">CgMxLjAyDmgubHkyc2JoMng5bTFyMg5oLnQyaWhqZ28wdGdtZTIOaC41MWV0OG8yMm9zdGwyDmgudWY5NDhjeG93bTdsMg5oLmJ6ZXVjcmFucGFxNjIOaC5zeGp4OTNlamxkaGcyDmguc2Y5YXZkZW9ycDZoMg5oLnRldnhud3hzYXRzdDIOaC5obm92YTlia2JkNXEyDmguZm0wb2lpdGRzdmZjMghoLmdqZGd4czgAciExc1RCUEd1S09LZFJYRmFkb0NCdWN0dmFVb0JkQV9C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2025-10-02T09:54:00Z</dcterms:created>
  <dc:creator>Carmelo Magnafico</dc:creator>
</cp:coreProperties>
</file>