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560"/>
        </w:tabs>
        <w:jc w:val="both"/>
        <w:rPr>
          <w:rFonts w:ascii="Titilium" w:cs="Titilium" w:eastAsia="Titilium" w:hAnsi="Titilium"/>
          <w:b w:val="1"/>
          <w:bCs w:val="1"/>
          <w:sz w:val="21"/>
          <w:szCs w:val="21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sz w:val="21"/>
          <w:szCs w:val="21"/>
          <w:rtl w:val="0"/>
        </w:rPr>
        <w:t xml:space="preserve"> (Modello dichiarazione esperienze pregresse)</w:t>
      </w:r>
    </w:p>
    <w:p w:rsidR="00000000" w:rsidDel="00000000" w:rsidP="00000000" w:rsidRDefault="00000000" w:rsidRPr="00000000" w14:paraId="00000002">
      <w:pPr>
        <w:jc w:val="both"/>
        <w:rPr>
          <w:rFonts w:ascii="Titilium" w:cs="Titilium" w:eastAsia="Titilium" w:hAnsi="Titi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tilium" w:cs="Titilium" w:eastAsia="Titilium" w:hAnsi="Titi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tilium" w:cs="Titilium" w:eastAsia="Titilium" w:hAnsi="Titilium"/>
          <w:sz w:val="21"/>
          <w:szCs w:val="21"/>
        </w:rPr>
      </w:pPr>
      <w:r w:rsidDel="00000000" w:rsidR="00000000" w:rsidRPr="00000000">
        <w:rPr>
          <w:rFonts w:ascii="Titilium" w:cs="Titilium" w:eastAsia="Titilium" w:hAnsi="Titilium"/>
          <w:sz w:val="21"/>
          <w:szCs w:val="21"/>
          <w:rtl w:val="0"/>
        </w:rPr>
        <w:t xml:space="preserve">Il/La sottoscritto/a _______________ _________________, nato/a a _________________, il ___/__/__,</w:t>
      </w:r>
    </w:p>
    <w:p w:rsidR="00000000" w:rsidDel="00000000" w:rsidP="00000000" w:rsidRDefault="00000000" w:rsidRPr="00000000" w14:paraId="00000005">
      <w:pPr>
        <w:jc w:val="both"/>
        <w:rPr>
          <w:rFonts w:ascii="Titilium" w:cs="Titilium" w:eastAsia="Titilium" w:hAnsi="Titilium"/>
          <w:sz w:val="21"/>
          <w:szCs w:val="21"/>
        </w:rPr>
      </w:pPr>
      <w:r w:rsidDel="00000000" w:rsidR="00000000" w:rsidRPr="00000000">
        <w:rPr>
          <w:rFonts w:ascii="Titilium" w:cs="Titilium" w:eastAsia="Titilium" w:hAnsi="Titilium"/>
          <w:sz w:val="21"/>
          <w:szCs w:val="21"/>
          <w:rtl w:val="0"/>
        </w:rPr>
        <w:t xml:space="preserve">residente in ___________________, Via / Piazza _________________ CAP _______, C.F. _____________,in qualità di _________ e legale rappresentante della Ditta ____________________________, C.F. _______________________, P.IVA _______________________, con sede legale in ___________________, Via / Piazza _______________, CAP ________, </w:t>
      </w:r>
    </w:p>
    <w:p w:rsidR="00000000" w:rsidDel="00000000" w:rsidP="00000000" w:rsidRDefault="00000000" w:rsidRPr="00000000" w14:paraId="00000006">
      <w:pPr>
        <w:jc w:val="both"/>
        <w:rPr>
          <w:rFonts w:ascii="Titilium" w:cs="Titilium" w:eastAsia="Titilium" w:hAnsi="Titi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ly2sbh2x9m1r" w:id="0"/>
      <w:bookmarkEnd w:id="0"/>
      <w:r w:rsidDel="00000000" w:rsidR="00000000" w:rsidRPr="00000000">
        <w:rPr>
          <w:rFonts w:ascii="Titilium" w:cs="Titilium" w:eastAsia="Titilium" w:hAnsi="Titilium"/>
          <w:sz w:val="21"/>
          <w:szCs w:val="21"/>
          <w:rtl w:val="0"/>
        </w:rPr>
        <w:t xml:space="preserve">con riferimento alla </w:t>
      </w:r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PROCEDURA APERTA SOTTO SOGLIA COMUNITARIA SU PIATTAFORMA TELEMATICA U-BUY AI SENSI DELL’ART. 71 DEL DECRETO LEGISLATIVO N. 36/2023 E SS.MM.II. PER LA “PROGETTAZIONE E REALIZZAZIONE E FORNITURA DI PARTI MECCANICHE PER STRUMENTI PER LA MISURA DEL CAMPO ELETTRICO E DEL PLASMA NELLO SPAZIO” CON IL CRITERIO DELL’OFFERTA ECONOMICAMENTE PIU’ VANTAGGIOSA, SULLA BASE DEL MIGLIOR RAPPORTO QUALITA’/PREZZO, PER I PROGETTI DAL TITOLO:</w:t>
      </w:r>
    </w:p>
    <w:p w:rsidR="00000000" w:rsidDel="00000000" w:rsidP="00000000" w:rsidRDefault="00000000" w:rsidRPr="00000000" w14:paraId="00000008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t2ihjgo0tgm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51et8o22ostl" w:id="2"/>
      <w:bookmarkEnd w:id="2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“Large Grant INAF” – FUNZIONI OBIETTIVO 1.05.24.01.14 CODICE UNICO DI PROGETTO: C83C25000270005</w:t>
      </w:r>
    </w:p>
    <w:p w:rsidR="00000000" w:rsidDel="00000000" w:rsidP="00000000" w:rsidRDefault="00000000" w:rsidRPr="00000000" w14:paraId="0000000A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uf948cxowm7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bzeucranpaq6" w:id="4"/>
      <w:bookmarkEnd w:id="4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“SpaceItUp – Spoke 4", FUNZIONI OBIETTIVO 1.05.04.86.01 CODICE UNICO DI PROGETTO: C53C24000360005</w:t>
      </w:r>
    </w:p>
    <w:p w:rsidR="00000000" w:rsidDel="00000000" w:rsidP="00000000" w:rsidRDefault="00000000" w:rsidRPr="00000000" w14:paraId="0000000C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sxjx93ejldh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sf9avdeorp6h" w:id="6"/>
      <w:bookmarkEnd w:id="6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“Bando Laboratori INAF” – FUNZIONI OBIETTIVO 1.05.15.19 CODICE UNICO DI PROGETTO: C82B24000470001</w:t>
      </w:r>
    </w:p>
    <w:p w:rsidR="00000000" w:rsidDel="00000000" w:rsidP="00000000" w:rsidRDefault="00000000" w:rsidRPr="00000000" w14:paraId="0000000E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tevxnwxsatst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hnova9bkbd5q" w:id="8"/>
      <w:bookmarkEnd w:id="8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CODICE DELLA PROCEDURA: G02798</w:t>
      </w:r>
    </w:p>
    <w:p w:rsidR="00000000" w:rsidDel="00000000" w:rsidP="00000000" w:rsidRDefault="00000000" w:rsidRPr="00000000" w14:paraId="00000010">
      <w:pPr>
        <w:ind w:right="424" w:hanging="2"/>
        <w:jc w:val="both"/>
        <w:rPr>
          <w:rFonts w:ascii="Titillium" w:cs="Titillium" w:eastAsia="Titillium" w:hAnsi="Titillium"/>
          <w:b w:val="1"/>
          <w:bCs w:val="1"/>
          <w:sz w:val="21"/>
          <w:szCs w:val="21"/>
        </w:rPr>
      </w:pPr>
      <w:bookmarkStart w:colFirst="0" w:colLast="0" w:name="_heading=h.fm0oiitdsvfc" w:id="9"/>
      <w:bookmarkEnd w:id="9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CUI F97220210583202400080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24"/>
        <w:jc w:val="both"/>
        <w:rPr>
          <w:rFonts w:ascii="Titilium" w:cs="Titilium" w:eastAsia="Titilium" w:hAnsi="Titi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tilium" w:cs="Titilium" w:eastAsia="Titilium" w:hAnsi="Titilium"/>
          <w:sz w:val="21"/>
          <w:szCs w:val="21"/>
        </w:rPr>
      </w:pPr>
      <w:r w:rsidDel="00000000" w:rsidR="00000000" w:rsidRPr="00000000">
        <w:rPr>
          <w:rFonts w:ascii="Titilium" w:cs="Titilium" w:eastAsia="Titilium" w:hAnsi="Titilium"/>
          <w:sz w:val="21"/>
          <w:szCs w:val="21"/>
          <w:rtl w:val="0"/>
        </w:rPr>
        <w:t xml:space="preserve">ai sensi degli artt. 46 e 47 del DPR 445/2000, consapevole della responsabilità e delle conseguenze civili e penali a cui può andare incontro in caso di dichiarazioni mendaci, anche ai sensi dell'art. 76 del DPR cit.,</w:t>
      </w:r>
    </w:p>
    <w:p w:rsidR="00000000" w:rsidDel="00000000" w:rsidP="00000000" w:rsidRDefault="00000000" w:rsidRPr="00000000" w14:paraId="00000013">
      <w:pPr>
        <w:jc w:val="both"/>
        <w:rPr>
          <w:rFonts w:ascii="Titilium" w:cs="Titilium" w:eastAsia="Titilium" w:hAnsi="Titi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tilium" w:cs="Titilium" w:eastAsia="Titilium" w:hAnsi="Titi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tilium" w:cs="Titilium" w:eastAsia="Titilium" w:hAnsi="Titilium"/>
          <w:b w:val="1"/>
          <w:bCs w:val="1"/>
          <w:sz w:val="21"/>
          <w:szCs w:val="21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sz w:val="21"/>
          <w:szCs w:val="21"/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jc w:val="center"/>
        <w:rPr>
          <w:rFonts w:ascii="Titilium" w:cs="Titilium" w:eastAsia="Titilium" w:hAnsi="Titilium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tilium" w:cs="Titilium" w:eastAsia="Titilium" w:hAnsi="Titilium"/>
          <w:sz w:val="21"/>
          <w:szCs w:val="21"/>
        </w:rPr>
      </w:pPr>
      <w:r w:rsidDel="00000000" w:rsidR="00000000" w:rsidRPr="00000000">
        <w:rPr>
          <w:rFonts w:ascii="Titilium" w:cs="Titilium" w:eastAsia="Titilium" w:hAnsi="Titilium"/>
          <w:sz w:val="21"/>
          <w:szCs w:val="21"/>
          <w:rtl w:val="0"/>
        </w:rPr>
        <w:t xml:space="preserve">Ai sensi dell’art. 100 comma 11 D.Lgs.vo 36/2023 (come modificato dal </w:t>
      </w:r>
      <w:r w:rsidDel="00000000" w:rsidR="00000000" w:rsidRPr="00000000">
        <w:rPr>
          <w:rFonts w:ascii="Titilium" w:cs="Titilium" w:eastAsia="Titilium" w:hAnsi="Titilium"/>
          <w:b w:val="1"/>
          <w:bCs w:val="1"/>
          <w:sz w:val="21"/>
          <w:szCs w:val="21"/>
          <w:rtl w:val="0"/>
        </w:rPr>
        <w:t xml:space="preserve">D.Lgs. 209/2024</w:t>
      </w:r>
      <w:r w:rsidDel="00000000" w:rsidR="00000000" w:rsidRPr="00000000">
        <w:rPr>
          <w:rFonts w:ascii="Titilium" w:cs="Titilium" w:eastAsia="Titilium" w:hAnsi="Titilium"/>
          <w:sz w:val="21"/>
          <w:szCs w:val="21"/>
          <w:rtl w:val="0"/>
        </w:rPr>
        <w:t xml:space="preserve">), di aver di aver eseguito negli ultimi dieci anni dalla data di indizione della procedura di gara contratti analoghi a quello in affidamento anche a favore di soggetti privati:</w:t>
      </w:r>
    </w:p>
    <w:p w:rsidR="00000000" w:rsidDel="00000000" w:rsidP="00000000" w:rsidRDefault="00000000" w:rsidRPr="00000000" w14:paraId="00000018">
      <w:pPr>
        <w:ind w:right="-7"/>
        <w:jc w:val="both"/>
        <w:rPr>
          <w:rFonts w:ascii="Titilium" w:cs="Titilium" w:eastAsia="Titilium" w:hAnsi="Titi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right="-7" w:firstLine="0"/>
        <w:jc w:val="both"/>
        <w:rPr>
          <w:rFonts w:ascii="Titilium" w:cs="Titilium" w:eastAsia="Titilium" w:hAnsi="Titilium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800"/>
        <w:gridCol w:w="1736"/>
        <w:gridCol w:w="1736"/>
        <w:gridCol w:w="1741"/>
        <w:tblGridChange w:id="0">
          <w:tblGrid>
            <w:gridCol w:w="1755"/>
            <w:gridCol w:w="1800"/>
            <w:gridCol w:w="1736"/>
            <w:gridCol w:w="1736"/>
            <w:gridCol w:w="17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1A">
            <w:pPr>
              <w:ind w:right="-7"/>
              <w:jc w:val="both"/>
              <w:rPr>
                <w:rFonts w:ascii="Titilium" w:cs="Titilium" w:eastAsia="Titilium" w:hAnsi="Titilium"/>
                <w:b w:val="1"/>
                <w:bCs w:val="1"/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Fonts w:ascii="Titilium" w:cs="Titilium" w:eastAsia="Titilium" w:hAnsi="Titilium"/>
                <w:b w:val="1"/>
                <w:bCs w:val="1"/>
                <w:color w:val="595959"/>
                <w:sz w:val="21"/>
                <w:szCs w:val="21"/>
                <w:rtl w:val="0"/>
              </w:rPr>
              <w:t xml:space="preserve">Forniture analoghe effettuate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01B">
            <w:pPr>
              <w:ind w:right="-7"/>
              <w:jc w:val="both"/>
              <w:rPr>
                <w:rFonts w:ascii="Titilium" w:cs="Titilium" w:eastAsia="Titilium" w:hAnsi="Titilium"/>
                <w:b w:val="1"/>
                <w:bCs w:val="1"/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Fonts w:ascii="Titilium" w:cs="Titilium" w:eastAsia="Titilium" w:hAnsi="Titilium"/>
                <w:b w:val="1"/>
                <w:bCs w:val="1"/>
                <w:color w:val="595959"/>
                <w:sz w:val="21"/>
                <w:szCs w:val="21"/>
                <w:rtl w:val="0"/>
              </w:rPr>
              <w:t xml:space="preserve">Committenti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1C">
            <w:pPr>
              <w:ind w:right="-7"/>
              <w:jc w:val="both"/>
              <w:rPr>
                <w:rFonts w:ascii="Titilium" w:cs="Titilium" w:eastAsia="Titilium" w:hAnsi="Titilium"/>
                <w:b w:val="1"/>
                <w:bCs w:val="1"/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Fonts w:ascii="Titilium" w:cs="Titilium" w:eastAsia="Titilium" w:hAnsi="Titilium"/>
                <w:b w:val="1"/>
                <w:bCs w:val="1"/>
                <w:color w:val="595959"/>
                <w:sz w:val="21"/>
                <w:szCs w:val="21"/>
                <w:rtl w:val="0"/>
              </w:rPr>
              <w:t xml:space="preserve">Durata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1D">
            <w:pPr>
              <w:ind w:right="-7"/>
              <w:jc w:val="both"/>
              <w:rPr>
                <w:rFonts w:ascii="Titilium" w:cs="Titilium" w:eastAsia="Titilium" w:hAnsi="Titilium"/>
                <w:b w:val="1"/>
                <w:bCs w:val="1"/>
                <w:color w:val="f2f2f2"/>
                <w:sz w:val="21"/>
                <w:szCs w:val="21"/>
              </w:rPr>
            </w:pPr>
            <w:r w:rsidDel="00000000" w:rsidR="00000000" w:rsidRPr="00000000">
              <w:rPr>
                <w:rFonts w:ascii="Titilium" w:cs="Titilium" w:eastAsia="Titilium" w:hAnsi="Titilium"/>
                <w:b w:val="1"/>
                <w:bCs w:val="1"/>
                <w:color w:val="f2f2f2"/>
                <w:sz w:val="21"/>
                <w:szCs w:val="21"/>
                <w:rtl w:val="0"/>
              </w:rPr>
              <w:t xml:space="preserve">Importi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E">
            <w:pPr>
              <w:ind w:right="-7"/>
              <w:jc w:val="both"/>
              <w:rPr>
                <w:rFonts w:ascii="Titilium" w:cs="Titilium" w:eastAsia="Titilium" w:hAnsi="Titilium"/>
                <w:b w:val="1"/>
                <w:bCs w:val="1"/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Fonts w:ascii="Titilium" w:cs="Titilium" w:eastAsia="Titilium" w:hAnsi="Titilium"/>
                <w:b w:val="1"/>
                <w:bCs w:val="1"/>
                <w:color w:val="595959"/>
                <w:sz w:val="21"/>
                <w:szCs w:val="21"/>
                <w:rtl w:val="0"/>
              </w:rPr>
              <w:t xml:space="preserve">Note eventuali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right="-7"/>
              <w:jc w:val="both"/>
              <w:rPr>
                <w:rFonts w:ascii="Titilium" w:cs="Titilium" w:eastAsia="Titilium" w:hAnsi="Titilium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360" w:lineRule="auto"/>
        <w:ind w:right="424"/>
        <w:rPr>
          <w:rFonts w:ascii="Titilium" w:cs="Titilium" w:eastAsia="Titilium" w:hAnsi="Titilium"/>
          <w:sz w:val="21"/>
          <w:szCs w:val="2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5954" w:right="424" w:firstLine="0"/>
        <w:rPr>
          <w:rFonts w:ascii="Titilium" w:cs="Titilium" w:eastAsia="Titilium" w:hAnsi="Titilium"/>
          <w:sz w:val="21"/>
          <w:szCs w:val="21"/>
        </w:rPr>
      </w:pPr>
      <w:r w:rsidDel="00000000" w:rsidR="00000000" w:rsidRPr="00000000">
        <w:rPr>
          <w:rFonts w:ascii="Titilium" w:cs="Titilium" w:eastAsia="Titilium" w:hAnsi="Titilium"/>
          <w:sz w:val="21"/>
          <w:szCs w:val="21"/>
          <w:rtl w:val="0"/>
        </w:rPr>
        <w:t xml:space="preserve">Firma del legale rappresentante</w:t>
      </w:r>
    </w:p>
    <w:sectPr>
      <w:headerReference r:id="rId7" w:type="default"/>
      <w:footerReference r:id="rId8" w:type="default"/>
      <w:pgSz w:h="16840" w:w="11900" w:orient="portrait"/>
      <w:pgMar w:bottom="1134" w:top="1994" w:left="1134" w:right="1268" w:header="23" w:footer="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tilium"/>
  <w:font w:name="Titill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-1134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8532466" cy="1089590"/>
          <wp:effectExtent b="0" l="0" r="0" t="0"/>
          <wp:docPr id="13422436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32466" cy="10895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-1134" w:right="-1134" w:firstLine="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-426" w:right="-1134" w:firstLine="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0151A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 w:val="1"/>
    <w:rsid w:val="000151A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link w:val="ParagrafoelencoCarattere"/>
    <w:uiPriority w:val="34"/>
    <w:qFormat w:val="1"/>
    <w:rsid w:val="000151A3"/>
    <w:pPr>
      <w:ind w:left="720"/>
      <w:contextualSpacing w:val="1"/>
    </w:pPr>
  </w:style>
  <w:style w:type="character" w:styleId="ParagrafoelencoCarattere" w:customStyle="1">
    <w:name w:val="Paragrafo elenco Carattere"/>
    <w:basedOn w:val="Carpredefinitoparagrafo"/>
    <w:link w:val="Paragrafoelenco"/>
    <w:uiPriority w:val="34"/>
    <w:rsid w:val="00297CB2"/>
  </w:style>
  <w:style w:type="paragraph" w:styleId="Default" w:customStyle="1">
    <w:name w:val="Default"/>
    <w:rsid w:val="00C557B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table" w:styleId="Grigliatabella">
    <w:name w:val="Table Grid"/>
    <w:basedOn w:val="Tabellanormale"/>
    <w:uiPriority w:val="39"/>
    <w:rsid w:val="00ED4487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O-normal" w:customStyle="1">
    <w:name w:val="LO-normal"/>
    <w:qFormat w:val="1"/>
    <w:rsid w:val="009132C2"/>
    <w:pPr>
      <w:suppressAutoHyphens w:val="1"/>
      <w:spacing w:line="1" w:lineRule="atLeast"/>
      <w:outlineLvl w:val="0"/>
    </w:pPr>
    <w:rPr>
      <w:rFonts w:ascii="Times New Roman" w:cs="Times" w:eastAsia="Times New Roman" w:hAnsi="Times New Roman"/>
    </w:rPr>
  </w:style>
  <w:style w:type="character" w:styleId="Collegamentoipertestuale">
    <w:name w:val="Hyperlink"/>
    <w:basedOn w:val="Carpredefinitoparagrafo"/>
    <w:uiPriority w:val="99"/>
    <w:unhideWhenUsed w:val="1"/>
    <w:rsid w:val="002311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3116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bSxCB47LQXh1r6pcral8VkWVQg==">CgMxLjAyDmgubHkyc2JoMng5bTFyMg5oLnQyaWhqZ28wdGdtZTIOaC41MWV0OG8yMm9zdGwyDmgudWY5NDhjeG93bTdsMg5oLmJ6ZXVjcmFucGFxNjIOaC5zeGp4OTNlamxkaGcyDmguc2Y5YXZkZW9ycDZoMg5oLnRldnhud3hzYXRzdDIOaC5obm92YTlia2JkNXEyDmguZm0wb2lpdGRzdmZjOAByITFiVWFwUkRrSjJwRktXLXlTR3V2Q2R6eGxlZ3RDLW4tYg==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2025-01-16T12:23:00Z</dcterms:created>
  <dc:creator>Utente di Microsoft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