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“Allegato </w:t>
      </w:r>
      <w:r w:rsidDel="00000000" w:rsidR="00000000" w:rsidRPr="00000000">
        <w:rPr>
          <w:rFonts w:ascii="Titilium" w:cs="Titilium" w:eastAsia="Titilium" w:hAnsi="Titilium"/>
          <w:sz w:val="21"/>
          <w:szCs w:val="21"/>
          <w:rtl w:val="0"/>
        </w:rPr>
        <w:t xml:space="preserve">_</w:t>
      </w:r>
      <w:r w:rsidDel="00000000" w:rsidR="00000000" w:rsidRPr="00000000">
        <w:rPr>
          <w:rFonts w:ascii="Titilium" w:cs="Titilium" w:eastAsia="Titilium" w:hAnsi="Titilium"/>
          <w:color w:val="000000"/>
          <w:sz w:val="21"/>
          <w:szCs w:val="21"/>
          <w:rtl w:val="0"/>
        </w:rPr>
        <w:t xml:space="preserve"> - Dichiarazioni obblighi assunzionali”</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03">
      <w:pPr>
        <w:ind w:right="424" w:hanging="2"/>
        <w:jc w:val="both"/>
        <w:rPr>
          <w:rFonts w:ascii="Titilium" w:cs="Titilium" w:eastAsia="Titilium" w:hAnsi="Titilium"/>
          <w:b w:val="1"/>
          <w:bCs w:val="1"/>
          <w:sz w:val="24"/>
          <w:szCs w:val="24"/>
        </w:rPr>
      </w:pPr>
      <w:bookmarkStart w:colFirst="0" w:colLast="0" w:name="_heading=h.ly2sbh2x9m1r" w:id="0"/>
      <w:bookmarkEnd w:id="0"/>
      <w:r w:rsidDel="00000000" w:rsidR="00000000" w:rsidRPr="00000000">
        <w:rPr>
          <w:rFonts w:ascii="Titilium" w:cs="Titilium" w:eastAsia="Titilium" w:hAnsi="Titilium"/>
          <w:b w:val="1"/>
          <w:bCs w:val="1"/>
          <w:sz w:val="24"/>
          <w:szCs w:val="24"/>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4">
      <w:pPr>
        <w:ind w:right="424" w:hanging="2"/>
        <w:jc w:val="both"/>
        <w:rPr>
          <w:rFonts w:ascii="Titilium" w:cs="Titilium" w:eastAsia="Titilium" w:hAnsi="Titilium"/>
          <w:b w:val="1"/>
          <w:bCs w:val="1"/>
          <w:sz w:val="24"/>
          <w:szCs w:val="24"/>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5">
      <w:pPr>
        <w:ind w:right="424" w:hanging="2"/>
        <w:jc w:val="both"/>
        <w:rPr>
          <w:rFonts w:ascii="Titilium" w:cs="Titilium" w:eastAsia="Titilium" w:hAnsi="Titilium"/>
          <w:b w:val="1"/>
          <w:bCs w:val="1"/>
          <w:sz w:val="24"/>
          <w:szCs w:val="24"/>
        </w:rPr>
      </w:pPr>
      <w:bookmarkStart w:colFirst="0" w:colLast="0" w:name="_heading=h.51et8o22ostl" w:id="2"/>
      <w:bookmarkEnd w:id="2"/>
      <w:r w:rsidDel="00000000" w:rsidR="00000000" w:rsidRPr="00000000">
        <w:rPr>
          <w:rFonts w:ascii="Titilium" w:cs="Titilium" w:eastAsia="Titilium" w:hAnsi="Titilium"/>
          <w:b w:val="1"/>
          <w:bCs w:val="1"/>
          <w:sz w:val="24"/>
          <w:szCs w:val="24"/>
          <w:rtl w:val="0"/>
        </w:rPr>
        <w:t xml:space="preserve">- “Large Grant INAF” – FUNZIONI OBIETTIVO 1.05.24.01.14 CODICE UNICO DI PROGETTO: C83C25000270005</w:t>
      </w:r>
    </w:p>
    <w:p w:rsidR="00000000" w:rsidDel="00000000" w:rsidP="00000000" w:rsidRDefault="00000000" w:rsidRPr="00000000" w14:paraId="00000006">
      <w:pPr>
        <w:ind w:right="424" w:hanging="2"/>
        <w:jc w:val="both"/>
        <w:rPr>
          <w:rFonts w:ascii="Titilium" w:cs="Titilium" w:eastAsia="Titilium" w:hAnsi="Titilium"/>
          <w:b w:val="1"/>
          <w:bCs w:val="1"/>
          <w:sz w:val="24"/>
          <w:szCs w:val="24"/>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7">
      <w:pPr>
        <w:ind w:right="424" w:hanging="2"/>
        <w:jc w:val="both"/>
        <w:rPr>
          <w:rFonts w:ascii="Titilium" w:cs="Titilium" w:eastAsia="Titilium" w:hAnsi="Titilium"/>
          <w:b w:val="1"/>
          <w:bCs w:val="1"/>
          <w:sz w:val="24"/>
          <w:szCs w:val="24"/>
        </w:rPr>
      </w:pPr>
      <w:bookmarkStart w:colFirst="0" w:colLast="0" w:name="_heading=h.bzeucranpaq6" w:id="4"/>
      <w:bookmarkEnd w:id="4"/>
      <w:r w:rsidDel="00000000" w:rsidR="00000000" w:rsidRPr="00000000">
        <w:rPr>
          <w:rFonts w:ascii="Titilium" w:cs="Titilium" w:eastAsia="Titilium" w:hAnsi="Titilium"/>
          <w:b w:val="1"/>
          <w:bCs w:val="1"/>
          <w:sz w:val="24"/>
          <w:szCs w:val="24"/>
          <w:rtl w:val="0"/>
        </w:rPr>
        <w:t xml:space="preserve">- “SpaceItUp – Spoke 4", FUNZIONI OBIETTIVO 1.05.04.86.01 CODICE UNICO DI PROGETTO: C53C24000360005</w:t>
      </w:r>
    </w:p>
    <w:p w:rsidR="00000000" w:rsidDel="00000000" w:rsidP="00000000" w:rsidRDefault="00000000" w:rsidRPr="00000000" w14:paraId="00000008">
      <w:pPr>
        <w:ind w:right="424" w:hanging="2"/>
        <w:jc w:val="both"/>
        <w:rPr>
          <w:rFonts w:ascii="Titilium" w:cs="Titilium" w:eastAsia="Titilium" w:hAnsi="Titilium"/>
          <w:b w:val="1"/>
          <w:bCs w:val="1"/>
          <w:sz w:val="24"/>
          <w:szCs w:val="24"/>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9">
      <w:pPr>
        <w:ind w:right="424" w:hanging="2"/>
        <w:jc w:val="both"/>
        <w:rPr>
          <w:rFonts w:ascii="Titilium" w:cs="Titilium" w:eastAsia="Titilium" w:hAnsi="Titilium"/>
          <w:b w:val="1"/>
          <w:bCs w:val="1"/>
          <w:sz w:val="24"/>
          <w:szCs w:val="24"/>
        </w:rPr>
      </w:pPr>
      <w:bookmarkStart w:colFirst="0" w:colLast="0" w:name="_heading=h.sf9avdeorp6h" w:id="6"/>
      <w:bookmarkEnd w:id="6"/>
      <w:r w:rsidDel="00000000" w:rsidR="00000000" w:rsidRPr="00000000">
        <w:rPr>
          <w:rFonts w:ascii="Titilium" w:cs="Titilium" w:eastAsia="Titilium" w:hAnsi="Titilium"/>
          <w:b w:val="1"/>
          <w:bCs w:val="1"/>
          <w:sz w:val="24"/>
          <w:szCs w:val="24"/>
          <w:rtl w:val="0"/>
        </w:rPr>
        <w:t xml:space="preserve">- “Bando Laboratori INAF” – FUNZIONI OBIETTIVO 1.05.15.19 CODICE UNICO DI PROGETTO: C82B24000470001</w:t>
      </w:r>
    </w:p>
    <w:p w:rsidR="00000000" w:rsidDel="00000000" w:rsidP="00000000" w:rsidRDefault="00000000" w:rsidRPr="00000000" w14:paraId="0000000A">
      <w:pPr>
        <w:ind w:right="424" w:hanging="2"/>
        <w:jc w:val="both"/>
        <w:rPr>
          <w:rFonts w:ascii="Titilium" w:cs="Titilium" w:eastAsia="Titilium" w:hAnsi="Titilium"/>
          <w:b w:val="1"/>
          <w:bCs w:val="1"/>
          <w:sz w:val="24"/>
          <w:szCs w:val="24"/>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B">
      <w:pPr>
        <w:ind w:right="424" w:hanging="2"/>
        <w:jc w:val="both"/>
        <w:rPr>
          <w:rFonts w:ascii="Titilium" w:cs="Titilium" w:eastAsia="Titilium" w:hAnsi="Titilium"/>
          <w:b w:val="1"/>
          <w:bCs w:val="1"/>
          <w:sz w:val="24"/>
          <w:szCs w:val="24"/>
        </w:rPr>
      </w:pPr>
      <w:bookmarkStart w:colFirst="0" w:colLast="0" w:name="_heading=h.hnova9bkbd5q" w:id="8"/>
      <w:bookmarkEnd w:id="8"/>
      <w:r w:rsidDel="00000000" w:rsidR="00000000" w:rsidRPr="00000000">
        <w:rPr>
          <w:rFonts w:ascii="Titilium" w:cs="Titilium" w:eastAsia="Titilium" w:hAnsi="Titilium"/>
          <w:b w:val="1"/>
          <w:bCs w:val="1"/>
          <w:sz w:val="24"/>
          <w:szCs w:val="24"/>
          <w:rtl w:val="0"/>
        </w:rPr>
        <w:t xml:space="preserve">CODICE DELLA PROCEDURA: G02798</w:t>
      </w:r>
    </w:p>
    <w:p w:rsidR="00000000" w:rsidDel="00000000" w:rsidP="00000000" w:rsidRDefault="00000000" w:rsidRPr="00000000" w14:paraId="0000000C">
      <w:pPr>
        <w:ind w:right="424" w:hanging="2"/>
        <w:jc w:val="both"/>
        <w:rPr>
          <w:rFonts w:ascii="Titilium" w:cs="Titilium" w:eastAsia="Titilium" w:hAnsi="Titilium"/>
          <w:b w:val="1"/>
          <w:bCs w:val="1"/>
          <w:sz w:val="24"/>
          <w:szCs w:val="24"/>
        </w:rPr>
      </w:pPr>
      <w:bookmarkStart w:colFirst="0" w:colLast="0" w:name="_heading=h.fm0oiitdsvfc" w:id="9"/>
      <w:bookmarkEnd w:id="9"/>
      <w:r w:rsidDel="00000000" w:rsidR="00000000" w:rsidRPr="00000000">
        <w:rPr>
          <w:rFonts w:ascii="Titilium" w:cs="Titilium" w:eastAsia="Titilium" w:hAnsi="Titilium"/>
          <w:b w:val="1"/>
          <w:bCs w:val="1"/>
          <w:sz w:val="24"/>
          <w:szCs w:val="24"/>
          <w:rtl w:val="0"/>
        </w:rPr>
        <w:t xml:space="preserve">CUI F97220210583202400080</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left="0" w:right="424" w:hanging="2"/>
        <w:jc w:val="both"/>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tbl>
      <w:tblPr>
        <w:tblStyle w:val="Table1"/>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2835"/>
        <w:gridCol w:w="6457"/>
        <w:tblGridChange w:id="0">
          <w:tblGrid>
            <w:gridCol w:w="562"/>
            <w:gridCol w:w="2835"/>
            <w:gridCol w:w="6457"/>
          </w:tblGrid>
        </w:tblGridChange>
      </w:tblGrid>
      <w:tr>
        <w:trPr>
          <w:cantSplit w:val="0"/>
          <w:tblHeader w:val="0"/>
        </w:trPr>
        <w:tc>
          <w:tcPr>
            <w:gridSpan w:val="2"/>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Il sottoscritto</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Codice fiscale</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Nella sua qualità di:</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line="240" w:lineRule="auto"/>
              <w:ind w:left="0" w:hanging="2"/>
              <w:jc w:val="center"/>
              <w:rPr>
                <w:rFonts w:ascii="Titilium" w:cs="Titilium" w:eastAsia="Titilium" w:hAnsi="Titilium"/>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Titolare o Legale rappresentante</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line="240" w:lineRule="auto"/>
              <w:ind w:left="0" w:hanging="2"/>
              <w:jc w:val="center"/>
              <w:rPr>
                <w:rFonts w:ascii="Titilium" w:cs="Titilium" w:eastAsia="Titilium" w:hAnsi="Titilium"/>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Procuratore</w:t>
            </w:r>
          </w:p>
        </w:tc>
      </w:tr>
      <w:tr>
        <w:trPr>
          <w:cantSplit w:val="0"/>
          <w:tblHeader w:val="0"/>
        </w:trPr>
        <w:tc>
          <w:tcPr>
            <w:gridSpan w:val="2"/>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Del concorrente</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800"/>
                <w:tab w:val="left" w:leader="none" w:pos="1080"/>
                <w:tab w:val="left" w:leader="none" w:pos="1800"/>
                <w:tab w:val="left" w:leader="none" w:pos="6300"/>
              </w:tabs>
              <w:spacing w:after="40" w:before="40" w:line="240" w:lineRule="auto"/>
              <w:ind w:left="0" w:hanging="2"/>
              <w:rPr>
                <w:rFonts w:ascii="Titilium" w:cs="Titilium" w:eastAsia="Titilium" w:hAnsi="Titilium"/>
                <w:color w:val="000000"/>
                <w:sz w:val="21"/>
                <w:szCs w:val="21"/>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Fonts w:ascii="Titilium" w:cs="Titilium" w:eastAsia="Titilium" w:hAnsi="Titilium"/>
          <w:i w:val="1"/>
          <w:iCs w:val="1"/>
          <w:color w:val="000000"/>
          <w:sz w:val="21"/>
          <w:szCs w:val="21"/>
          <w:rtl w:val="0"/>
        </w:rPr>
        <w:t xml:space="preserve">(in caso di RTI o di Consorzio </w:t>
      </w:r>
      <w:r w:rsidDel="00000000" w:rsidR="00000000" w:rsidRPr="00000000">
        <w:rPr>
          <w:rFonts w:ascii="Titilium" w:cs="Titilium" w:eastAsia="Titilium" w:hAnsi="Titilium"/>
          <w:i w:val="1"/>
          <w:iCs w:val="1"/>
          <w:sz w:val="21"/>
          <w:szCs w:val="21"/>
          <w:rtl w:val="0"/>
        </w:rPr>
        <w:t xml:space="preserve">costituiti ai sensi </w:t>
      </w:r>
      <w:r w:rsidDel="00000000" w:rsidR="00000000" w:rsidRPr="00000000">
        <w:rPr>
          <w:rFonts w:ascii="Titilium" w:cs="Titilium" w:eastAsia="Titilium" w:hAnsi="Titilium"/>
          <w:i w:val="1"/>
          <w:iCs w:val="1"/>
          <w:color w:val="000000"/>
          <w:sz w:val="21"/>
          <w:szCs w:val="21"/>
          <w:rtl w:val="0"/>
        </w:rPr>
        <w:t xml:space="preserve">del codice dei contratti, </w:t>
      </w:r>
      <w:r w:rsidDel="00000000" w:rsidR="00000000" w:rsidRPr="00000000">
        <w:rPr>
          <w:rFonts w:ascii="Titilium" w:cs="Titilium" w:eastAsia="Titilium" w:hAnsi="Titilium"/>
          <w:i w:val="1"/>
          <w:iCs w:val="1"/>
          <w:sz w:val="21"/>
          <w:szCs w:val="21"/>
          <w:rtl w:val="0"/>
        </w:rPr>
        <w:t xml:space="preserve">anche</w:t>
      </w:r>
      <w:r w:rsidDel="00000000" w:rsidR="00000000" w:rsidRPr="00000000">
        <w:rPr>
          <w:rFonts w:ascii="Titilium" w:cs="Titilium" w:eastAsia="Titilium" w:hAnsi="Titilium"/>
          <w:i w:val="1"/>
          <w:iCs w:val="1"/>
          <w:color w:val="000000"/>
          <w:sz w:val="21"/>
          <w:szCs w:val="21"/>
          <w:rtl w:val="0"/>
        </w:rPr>
        <w:t xml:space="preserve"> costituendi, dal Consorzio e dalle consorziate designate quali esecutrici nonché per il G.E.I.E. non ancora costituito, replicare la tabella e compilarla per ogni sottoscrittore)</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ai fini della ammissione alla procedura di gara, ai sensi degli articoli 46 e 47 del D.P.R. 28 dicembre 2000, n. 445,</w:t>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consapevole/i della responsabilità e delle conseguenze civili e penali previste in caso di dichiarazioni mendaci e/o formazione od uso di atti falsi, nonché in caso di esibizione di atti contenenti dati non più corrispondenti a verità;</w:t>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consapevole/i che costituisce causa di esclusione del/dei concorrente/i il mancato rispetto, al momento della presentazione dell’offerta, degli obblighi in materia di lavoro delle persone con disabilità di cui alla L. 68/1999; </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consapevole/i che il mancato rispetto della quota di assunzioni di giovani e donne nella percentuale del 30%, come calcolata in base alle Linee guida approvate con Decreto della Presidenza del Consiglio dei Ministri – Dipartimento Pari Opportunità, 7/12/2021 (G.U.R.I. 30/12/2021), comporterà l’applicazione di una penale quantificata tra il 1% ed il 4% del valore della commessa, a seconda della gravità dell’inadempimento;</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b w:val="1"/>
          <w:bCs w:val="1"/>
          <w:color w:val="000000"/>
          <w:sz w:val="21"/>
          <w:szCs w:val="21"/>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0" w:hanging="2"/>
        <w:jc w:val="center"/>
        <w:rPr>
          <w:rFonts w:ascii="Titilium" w:cs="Titilium" w:eastAsia="Titilium" w:hAnsi="Titilium"/>
          <w:b w:val="1"/>
          <w:bCs w:val="1"/>
          <w:color w:val="000000"/>
          <w:sz w:val="21"/>
          <w:szCs w:val="21"/>
        </w:rPr>
      </w:pPr>
      <w:r w:rsidDel="00000000" w:rsidR="00000000" w:rsidRPr="00000000">
        <w:rPr>
          <w:rFonts w:ascii="Titilium" w:cs="Titilium" w:eastAsia="Titilium" w:hAnsi="Titilium"/>
          <w:b w:val="1"/>
          <w:bCs w:val="1"/>
          <w:color w:val="000000"/>
          <w:sz w:val="21"/>
          <w:szCs w:val="21"/>
          <w:rtl w:val="0"/>
        </w:rPr>
        <w:t xml:space="preserve">DICHIARA/DICHIARANO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che il/i concorrente/i ha/hanno assolto gli obblighi in materia di lavoro delle persone con disabilità di cui alla legge 12 marzo 1999, n. 68;</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bookmarkStart w:colFirst="0" w:colLast="0" w:name="_heading=h.gjdgxs" w:id="10"/>
      <w:bookmarkEnd w:id="10"/>
      <w:r w:rsidDel="00000000" w:rsidR="00000000" w:rsidRPr="00000000">
        <w:rPr>
          <w:rFonts w:ascii="Titilium" w:cs="Titilium" w:eastAsia="Titilium" w:hAnsi="Titilium"/>
          <w:color w:val="000000"/>
          <w:sz w:val="21"/>
          <w:szCs w:val="21"/>
          <w:rtl w:val="0"/>
        </w:rPr>
        <w:t xml:space="preserve">che il/i concorrente/i, ai sensi di quanto disposto dall’art. 47, comma 4, del D.L. 77/2021, in caso di aggiudicazione del contratto, ove per l’esecuzione del contratto medesimo o per la realizzazione di attività ad esso connesse o strumentali, fosse necessario procedere con nuove assunzioni in numero pari o superiore a tre unità, assume/assumono l’obbligo di assicurare una quota pari:</w:t>
      </w:r>
    </w:p>
    <w:p w:rsidR="00000000" w:rsidDel="00000000" w:rsidP="00000000" w:rsidRDefault="00000000" w:rsidRPr="00000000" w14:paraId="0000002D">
      <w:pPr>
        <w:widowControl w:val="0"/>
        <w:numPr>
          <w:ilvl w:val="1"/>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almeno al 30% delle nuove assunzioni necessarie all’occupazione giovanile; </w:t>
      </w:r>
    </w:p>
    <w:p w:rsidR="00000000" w:rsidDel="00000000" w:rsidP="00000000" w:rsidRDefault="00000000" w:rsidRPr="00000000" w14:paraId="0000002E">
      <w:pPr>
        <w:widowControl w:val="0"/>
        <w:numPr>
          <w:ilvl w:val="1"/>
          <w:numId w:val="1"/>
        </w:num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almeno al 30% delle nuove assunzioni necessarie all’occupazione femminile.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0" w:hanging="2"/>
        <w:jc w:val="right"/>
        <w:rPr>
          <w:rFonts w:ascii="Titilium" w:cs="Titilium" w:eastAsia="Titilium" w:hAnsi="Titilium"/>
          <w:color w:val="000000"/>
          <w:sz w:val="21"/>
          <w:szCs w:val="21"/>
        </w:rPr>
      </w:pPr>
      <w:bookmarkStart w:colFirst="0" w:colLast="0" w:name="_heading=h.30j0zll" w:id="11"/>
      <w:bookmarkEnd w:id="11"/>
      <w:r w:rsidDel="00000000" w:rsidR="00000000" w:rsidRPr="00000000">
        <w:rPr>
          <w:rFonts w:ascii="Titilium" w:cs="Titilium" w:eastAsia="Titilium" w:hAnsi="Titilium"/>
          <w:color w:val="000000"/>
          <w:sz w:val="21"/>
          <w:szCs w:val="21"/>
          <w:rtl w:val="0"/>
        </w:rPr>
        <w:t xml:space="preserve">Firma digitale</w:t>
      </w:r>
      <w:r w:rsidDel="00000000" w:rsidR="00000000" w:rsidRPr="00000000">
        <w:rPr>
          <w:rFonts w:ascii="Titilium" w:cs="Titilium" w:eastAsia="Titilium" w:hAnsi="Titilium"/>
          <w:color w:val="000000"/>
          <w:sz w:val="21"/>
          <w:szCs w:val="21"/>
          <w:vertAlign w:val="superscript"/>
        </w:rPr>
        <w:footnoteReference w:customMarkFollows="0" w:id="0"/>
      </w:r>
      <w:r w:rsidDel="00000000" w:rsidR="00000000" w:rsidRPr="00000000">
        <w:rPr>
          <w:rFonts w:ascii="Titilium" w:cs="Titilium" w:eastAsia="Titilium" w:hAnsi="Titilium"/>
          <w:color w:val="000000"/>
          <w:sz w:val="21"/>
          <w:szCs w:val="21"/>
          <w:rtl w:val="0"/>
        </w:rPr>
        <w:t xml:space="preserve"> del legale rappresentante/procuratore</w:t>
      </w:r>
      <w:r w:rsidDel="00000000" w:rsidR="00000000" w:rsidRPr="00000000">
        <w:rPr>
          <w:rFonts w:ascii="Titilium" w:cs="Titilium" w:eastAsia="Titilium" w:hAnsi="Titilium"/>
          <w:color w:val="000000"/>
          <w:sz w:val="21"/>
          <w:szCs w:val="21"/>
          <w:vertAlign w:val="superscript"/>
        </w:rPr>
        <w:footnoteReference w:customMarkFollows="0" w:id="1"/>
      </w:r>
      <w:r w:rsidDel="00000000" w:rsidR="00000000" w:rsidRPr="00000000">
        <w:rPr>
          <w:rFonts w:ascii="Titilium" w:cs="Titilium" w:eastAsia="Titilium" w:hAnsi="Titilium"/>
          <w:color w:val="000000"/>
          <w:sz w:val="21"/>
          <w:szCs w:val="21"/>
          <w:rtl w:val="0"/>
        </w:rPr>
        <w:t xml:space="preserve"> di tutti i sottoscrittori</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0" w:firstLine="0"/>
        <w:rPr>
          <w:rFonts w:ascii="Titilium" w:cs="Titilium" w:eastAsia="Titilium" w:hAnsi="Titilium"/>
          <w:color w:val="000000"/>
          <w:sz w:val="21"/>
          <w:szCs w:val="21"/>
          <w:u w:val="singl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Titilium" w:cs="Titilium" w:eastAsia="Titilium" w:hAnsi="Titilium"/>
          <w:color w:val="000000"/>
          <w:sz w:val="21"/>
          <w:szCs w:val="2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64" w:top="1543" w:left="1021" w:right="1021" w:header="284"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tilium"/>
  <w:font w:name="Titilliu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tl w:val="0"/>
      </w:rPr>
      <w:t xml:space="preserve">Pag.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rPr>
      </w:pPr>
      <w:r w:rsidDel="00000000" w:rsidR="00000000" w:rsidRPr="00000000">
        <w:rPr>
          <w:rStyle w:val="FootnoteReference"/>
          <w:vertAlign w:val="superscript"/>
        </w:rPr>
        <w:footnoteRef/>
      </w:r>
      <w:r w:rsidDel="00000000" w:rsidR="00000000" w:rsidRPr="00000000">
        <w:rPr>
          <w:rFonts w:ascii="Titilium" w:cs="Titilium" w:eastAsia="Titilium" w:hAnsi="Titilium"/>
          <w:color w:val="000000"/>
          <w:rtl w:val="0"/>
        </w:rPr>
        <w:t xml:space="preserve"> </w:t>
      </w:r>
      <w:r w:rsidDel="00000000" w:rsidR="00000000" w:rsidRPr="00000000">
        <w:rPr>
          <w:rFonts w:ascii="Titilium" w:cs="Titilium" w:eastAsia="Titilium" w:hAnsi="Titilium"/>
          <w:color w:val="000000"/>
          <w:sz w:val="16"/>
          <w:szCs w:val="16"/>
          <w:rtl w:val="0"/>
        </w:rPr>
        <w:t xml:space="preserve">Per gli operatori economici italiani o stranieri residenti in Italia, la dichiarazione deve essere sottoscritta da un legale rappresentante ovvero da un procuratore</w:t>
      </w:r>
      <w:r w:rsidDel="00000000" w:rsidR="00000000" w:rsidRPr="00000000">
        <w:rPr>
          <w:rFonts w:ascii="Titilium" w:cs="Titilium" w:eastAsia="Titilium" w:hAnsi="Titilium"/>
          <w:color w:val="000000"/>
          <w:sz w:val="16"/>
          <w:szCs w:val="16"/>
          <w:vertAlign w:val="superscript"/>
          <w:rtl w:val="0"/>
        </w:rPr>
        <w:t xml:space="preserve">3</w:t>
      </w:r>
      <w:r w:rsidDel="00000000" w:rsidR="00000000" w:rsidRPr="00000000">
        <w:rPr>
          <w:rFonts w:ascii="Titilium" w:cs="Titilium" w:eastAsia="Titilium" w:hAnsi="Titilium"/>
          <w:color w:val="000000"/>
          <w:sz w:val="16"/>
          <w:szCs w:val="16"/>
          <w:rtl w:val="0"/>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Del="00000000" w:rsidR="00000000" w:rsidRPr="00000000">
        <w:rPr>
          <w:rtl w:val="0"/>
        </w:rPr>
      </w:r>
    </w:p>
  </w:footnote>
  <w:footnote w:id="1">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Titilium" w:cs="Titilium" w:eastAsia="Titilium" w:hAnsi="Titilium"/>
          <w:color w:val="000000"/>
        </w:rPr>
      </w:pPr>
      <w:bookmarkStart w:colFirst="0" w:colLast="0" w:name="_heading=h.1fob9te" w:id="12"/>
      <w:bookmarkEnd w:id="12"/>
      <w:r w:rsidDel="00000000" w:rsidR="00000000" w:rsidRPr="00000000">
        <w:rPr>
          <w:rStyle w:val="FootnoteReference"/>
          <w:vertAlign w:val="superscript"/>
        </w:rPr>
        <w:footnoteRef/>
      </w:r>
      <w:r w:rsidDel="00000000" w:rsidR="00000000" w:rsidRPr="00000000">
        <w:rPr>
          <w:rFonts w:ascii="Titilium" w:cs="Titilium" w:eastAsia="Titilium" w:hAnsi="Titilium"/>
          <w:color w:val="000000"/>
          <w:rtl w:val="0"/>
        </w:rPr>
        <w:t xml:space="preserve"> </w:t>
      </w:r>
      <w:r w:rsidDel="00000000" w:rsidR="00000000" w:rsidRPr="00000000">
        <w:rPr>
          <w:rFonts w:ascii="Titilium" w:cs="Titilium" w:eastAsia="Titilium" w:hAnsi="Titilium"/>
          <w:color w:val="000000"/>
          <w:sz w:val="16"/>
          <w:szCs w:val="16"/>
          <w:rtl w:val="0"/>
        </w:rPr>
        <w:t xml:space="preserve">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pacing w:before="108" w:lineRule="auto"/>
      <w:ind w:right="72"/>
      <w:jc w:val="both"/>
      <w:rPr>
        <w:rFonts w:ascii="Times New Roman" w:cs="Times New Roman" w:eastAsia="Times New Roman" w:hAnsi="Times New Roman"/>
        <w:sz w:val="10"/>
        <w:szCs w:val="10"/>
        <w:vertAlign w:val="superscript"/>
      </w:rPr>
    </w:pPr>
    <w:r w:rsidDel="00000000" w:rsidR="00000000" w:rsidRPr="00000000">
      <w:rPr>
        <w:rtl w:val="0"/>
      </w:rPr>
    </w:r>
  </w:p>
  <w:p w:rsidR="00000000" w:rsidDel="00000000" w:rsidP="00000000" w:rsidRDefault="00000000" w:rsidRPr="00000000" w14:paraId="0000003D">
    <w:pPr>
      <w:tabs>
        <w:tab w:val="center" w:leader="none" w:pos="4819"/>
        <w:tab w:val="right" w:leader="none" w:pos="9638"/>
      </w:tabs>
      <w:ind w:left="0" w:hanging="2"/>
      <w:jc w:val="both"/>
      <w:rPr/>
    </w:pPr>
    <w:r w:rsidDel="00000000" w:rsidR="00000000" w:rsidRPr="00000000">
      <w:rPr>
        <w:rFonts w:ascii="Times New Roman" w:cs="Times New Roman" w:eastAsia="Times New Roman" w:hAnsi="Times New Roman"/>
        <w:b w:val="1"/>
        <w:bCs w:val="1"/>
        <w:sz w:val="24"/>
        <w:szCs w:val="24"/>
        <w:rtl w:val="0"/>
      </w:rPr>
      <w:t xml:space="preserve">SU CARTA INTESTATA OE </w:t>
    </w:r>
    <w:r w:rsidDel="00000000" w:rsidR="00000000" w:rsidRPr="00000000">
      <w:rPr>
        <w:rtl w:val="0"/>
      </w:rPr>
    </w:r>
  </w:p>
  <w:p w:rsidR="00000000" w:rsidDel="00000000" w:rsidP="00000000" w:rsidRDefault="00000000" w:rsidRPr="00000000" w14:paraId="0000003E">
    <w:pPr>
      <w:tabs>
        <w:tab w:val="center" w:leader="none" w:pos="4819"/>
        <w:tab w:val="right" w:leader="none" w:pos="9638"/>
      </w:tabs>
      <w:ind w:left="0" w:hanging="2"/>
      <w:jc w:val="both"/>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tabs>
        <w:tab w:val="center" w:leader="none" w:pos="4819"/>
        <w:tab w:val="right" w:leader="none" w:pos="9638"/>
      </w:tabs>
      <w:ind w:left="0" w:hanging="2"/>
      <w:jc w:val="both"/>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5" w:hanging="705"/>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itolo4Carattere" w:customStyle="1">
    <w:name w:val="Titolo 4 Carattere"/>
    <w:rPr>
      <w:rFonts w:ascii="Calibri" w:cs="Times New Roman" w:eastAsia="Times New Roman" w:hAnsi="Calibri"/>
      <w:b w:val="1"/>
      <w:bCs w:val="1"/>
      <w:w w:val="100"/>
      <w:kern w:val="0"/>
      <w:position w:val="-1"/>
      <w:sz w:val="28"/>
      <w:szCs w:val="28"/>
      <w:effect w:val="none"/>
      <w:vertAlign w:val="baseline"/>
      <w:cs w:val="0"/>
      <w:em w:val="none"/>
      <w:lang w:eastAsia="it-IT" w:val="it-IT"/>
    </w:rPr>
  </w:style>
  <w:style w:type="paragraph" w:styleId="Pidipagina">
    <w:name w:val="footer"/>
    <w:basedOn w:val="Normale"/>
    <w:qFormat w:val="1"/>
    <w:pPr>
      <w:tabs>
        <w:tab w:val="center" w:pos="4819"/>
        <w:tab w:val="right" w:pos="9638"/>
      </w:tabs>
    </w:pPr>
  </w:style>
  <w:style w:type="character" w:styleId="PidipaginaCarattere" w:customStyle="1">
    <w:name w:val="Piè di pagina Carattere"/>
    <w:rPr>
      <w:w w:val="100"/>
      <w:kern w:val="0"/>
      <w:position w:val="-1"/>
      <w:sz w:val="20"/>
      <w:szCs w:val="16"/>
      <w:effect w:val="none"/>
      <w:vertAlign w:val="baseline"/>
      <w:cs w:val="0"/>
      <w:em w:val="none"/>
      <w:lang w:eastAsia="it-IT" w:val="it-IT"/>
    </w:rPr>
  </w:style>
  <w:style w:type="paragraph" w:styleId="usoboll1" w:customStyle="1">
    <w:name w:val="usoboll1"/>
    <w:basedOn w:val="Normale"/>
    <w:pPr>
      <w:widowControl w:val="0"/>
      <w:spacing w:line="482" w:lineRule="atLeast"/>
      <w:jc w:val="both"/>
    </w:pPr>
    <w:rPr>
      <w:rFonts w:ascii="Times New Roman" w:eastAsia="Times New Roman" w:hAnsi="Times New Roman"/>
      <w:sz w:val="24"/>
      <w:szCs w:val="20"/>
    </w:rPr>
  </w:style>
  <w:style w:type="paragraph" w:styleId="Corpodeltesto2">
    <w:name w:val="Body Text 2"/>
    <w:basedOn w:val="Normale"/>
    <w:qFormat w:val="1"/>
    <w:pPr>
      <w:spacing w:after="120" w:line="480" w:lineRule="auto"/>
    </w:pPr>
  </w:style>
  <w:style w:type="character" w:styleId="Corpodeltesto2Carattere" w:customStyle="1">
    <w:name w:val="Corpo del testo 2 Carattere"/>
    <w:rPr>
      <w:w w:val="100"/>
      <w:kern w:val="0"/>
      <w:position w:val="-1"/>
      <w:sz w:val="20"/>
      <w:szCs w:val="16"/>
      <w:effect w:val="none"/>
      <w:vertAlign w:val="baseline"/>
      <w:cs w:val="0"/>
      <w:em w:val="none"/>
      <w:lang w:eastAsia="it-IT" w:val="it-IT"/>
    </w:rPr>
  </w:style>
  <w:style w:type="table" w:styleId="Grigliatabella">
    <w:name w:val="Table Grid"/>
    <w:basedOn w:val="Tabellanormale"/>
    <w:pPr>
      <w:suppressAutoHyphens w:val="1"/>
      <w:ind w:left="-1" w:leftChars="-1" w:hangingChars="1"/>
      <w:textDirection w:val="btLr"/>
      <w:textAlignment w:val="top"/>
      <w:outlineLvl w:val="0"/>
    </w:pPr>
    <w:rPr>
      <w:rFonts w:ascii="Times New Roman" w:cs="Times New Roman" w:eastAsia="Times New Roman" w:hAnsi="Times New Roman"/>
      <w:position w:val="-1"/>
      <w:szCs w:val="1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pPr>
      <w:autoSpaceDE w:val="0"/>
      <w:autoSpaceDN w:val="0"/>
    </w:pPr>
    <w:rPr>
      <w:rFonts w:ascii="Times New Roman" w:eastAsia="Times New Roman" w:hAnsi="Times New Roman"/>
      <w:szCs w:val="20"/>
    </w:rPr>
  </w:style>
  <w:style w:type="character" w:styleId="TestonotaapidipaginaCarattere" w:customStyle="1">
    <w:name w:val="Testo nota a piè di pagina Carattere"/>
    <w:rPr>
      <w:rFonts w:ascii="Times New Roman" w:cs="Times New Roman" w:eastAsia="Times New Roman" w:hAnsi="Times New Roman"/>
      <w:w w:val="100"/>
      <w:kern w:val="0"/>
      <w:position w:val="-1"/>
      <w:sz w:val="20"/>
      <w:szCs w:val="20"/>
      <w:effect w:val="none"/>
      <w:vertAlign w:val="baseline"/>
      <w:cs w:val="0"/>
      <w:em w:val="none"/>
      <w:lang w:eastAsia="it-IT" w:val="it-IT"/>
    </w:rPr>
  </w:style>
  <w:style w:type="character" w:styleId="Rimandonotaapidipagina">
    <w:name w:val="footnote reference"/>
    <w:rPr>
      <w:w w:val="100"/>
      <w:position w:val="-1"/>
      <w:effect w:val="none"/>
      <w:vertAlign w:val="superscript"/>
      <w:cs w:val="0"/>
      <w:em w:val="none"/>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paragraph" w:styleId="Intestazione">
    <w:name w:val="header"/>
    <w:basedOn w:val="Normale"/>
    <w:link w:val="IntestazioneCarattere"/>
    <w:uiPriority w:val="99"/>
    <w:unhideWhenUsed w:val="1"/>
    <w:rsid w:val="00920F04"/>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920F04"/>
    <w:rPr>
      <w:position w:val="-1"/>
      <w:szCs w:val="16"/>
    </w:rPr>
  </w:style>
  <w:style w:type="table" w:styleId="a3" w:customStyle="1">
    <w:basedOn w:val="TableNormal0"/>
    <w:tblPr>
      <w:tblStyleRowBandSize w:val="1"/>
      <w:tblStyleColBandSize w:val="1"/>
      <w:tblCellMar>
        <w:left w:w="108.0" w:type="dxa"/>
        <w:right w:w="108.0" w:type="dxa"/>
      </w:tblCellMar>
    </w:tblPr>
  </w:style>
  <w:style w:type="table" w:styleId="a4"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92QzxsEyf2rZoqo4CxJSnjPuA==">CgMxLjAyDmgubHkyc2JoMng5bTFyMg5oLnQyaWhqZ28wdGdtZTIOaC41MWV0OG8yMm9zdGwyDmgudWY5NDhjeG93bTdsMg5oLmJ6ZXVjcmFucGFxNjIOaC5zeGp4OTNlamxkaGcyDmguc2Y5YXZkZW9ycDZoMg5oLnRldnhud3hzYXRzdDIOaC5obm92YTlia2JkNXEyDmguZm0wb2lpdGRzdmZjMghoLmdqZGd4czIJaC4zMGowemxsMgloLjFmb2I5dGU4AHIhMUlFRGkzVUpvSndfMTJEUGVfTlBrVERsSkY0M1VrVz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2025-01-16T12:24:00Z</dcterms:created>
  <dc:creator>Raffaella Riondino</dc:creator>
</cp:coreProperties>
</file>