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C0F40" w14:textId="77777777" w:rsidR="00E551BF" w:rsidRDefault="00AC5484">
      <w:pPr>
        <w:pBdr>
          <w:top w:val="nil"/>
          <w:left w:val="nil"/>
          <w:bottom w:val="nil"/>
          <w:right w:val="nil"/>
          <w:between w:val="nil"/>
        </w:pBdr>
        <w:ind w:right="-1220" w:hanging="2"/>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   </w:t>
      </w:r>
    </w:p>
    <w:p w14:paraId="0BC20B21" w14:textId="77777777" w:rsidR="00E551BF" w:rsidRDefault="00E551BF">
      <w:pPr>
        <w:pBdr>
          <w:top w:val="nil"/>
          <w:left w:val="nil"/>
          <w:bottom w:val="nil"/>
          <w:right w:val="nil"/>
          <w:between w:val="nil"/>
        </w:pBdr>
        <w:ind w:right="-1220" w:firstLine="0"/>
        <w:rPr>
          <w:rFonts w:ascii="Titillium" w:eastAsia="Titillium" w:hAnsi="Titillium" w:cs="Titillium"/>
          <w:color w:val="000000"/>
          <w:sz w:val="21"/>
          <w:szCs w:val="21"/>
        </w:rPr>
      </w:pPr>
    </w:p>
    <w:p w14:paraId="2E31B4A6" w14:textId="77777777" w:rsidR="00E551BF" w:rsidRDefault="00AC5484">
      <w:pPr>
        <w:pBdr>
          <w:top w:val="nil"/>
          <w:left w:val="nil"/>
          <w:bottom w:val="nil"/>
          <w:right w:val="nil"/>
          <w:between w:val="nil"/>
        </w:pBdr>
        <w:ind w:right="-1220" w:firstLine="0"/>
        <w:rPr>
          <w:rFonts w:ascii="Titillium" w:eastAsia="Titillium" w:hAnsi="Titillium" w:cs="Titillium"/>
          <w:color w:val="000000"/>
          <w:sz w:val="21"/>
          <w:szCs w:val="21"/>
          <w:highlight w:val="white"/>
        </w:rPr>
      </w:pPr>
      <w:r>
        <w:rPr>
          <w:rFonts w:ascii="Titillium" w:eastAsia="Titillium" w:hAnsi="Titillium" w:cs="Titillium"/>
          <w:color w:val="000000"/>
          <w:sz w:val="21"/>
          <w:szCs w:val="21"/>
        </w:rPr>
        <w:t xml:space="preserve">Contratto n. </w:t>
      </w:r>
      <w:r>
        <w:rPr>
          <w:rFonts w:ascii="Titillium" w:eastAsia="Titillium" w:hAnsi="Titillium" w:cs="Titillium"/>
          <w:sz w:val="21"/>
          <w:szCs w:val="21"/>
        </w:rPr>
        <w:t xml:space="preserve">  </w:t>
      </w:r>
    </w:p>
    <w:p w14:paraId="43EC1EF8" w14:textId="77777777" w:rsidR="00E551BF" w:rsidRDefault="00E551BF">
      <w:pPr>
        <w:pBdr>
          <w:top w:val="nil"/>
          <w:left w:val="nil"/>
          <w:bottom w:val="nil"/>
          <w:right w:val="nil"/>
          <w:between w:val="nil"/>
        </w:pBdr>
        <w:ind w:right="-1220" w:hanging="2"/>
        <w:jc w:val="both"/>
        <w:rPr>
          <w:rFonts w:ascii="Titillium" w:eastAsia="Titillium" w:hAnsi="Titillium" w:cs="Titillium"/>
          <w:b/>
          <w:bCs/>
          <w:sz w:val="21"/>
          <w:szCs w:val="21"/>
          <w:highlight w:val="white"/>
        </w:rPr>
      </w:pPr>
    </w:p>
    <w:p w14:paraId="546CE1B1" w14:textId="77777777" w:rsidR="00E551BF" w:rsidRDefault="00E551BF">
      <w:pPr>
        <w:pBdr>
          <w:top w:val="nil"/>
          <w:left w:val="nil"/>
          <w:bottom w:val="nil"/>
          <w:right w:val="nil"/>
          <w:between w:val="nil"/>
        </w:pBdr>
        <w:ind w:right="-1215" w:hanging="2"/>
        <w:jc w:val="both"/>
        <w:rPr>
          <w:rFonts w:ascii="Titillium" w:eastAsia="Titillium" w:hAnsi="Titillium" w:cs="Titillium"/>
          <w:b/>
          <w:bCs/>
          <w:sz w:val="21"/>
          <w:szCs w:val="21"/>
          <w:highlight w:val="white"/>
        </w:rPr>
      </w:pPr>
    </w:p>
    <w:p w14:paraId="701B15B8" w14:textId="77777777" w:rsidR="00E551BF" w:rsidRDefault="00AC5484">
      <w:pPr>
        <w:ind w:right="-1220" w:hanging="2"/>
        <w:jc w:val="both"/>
        <w:rPr>
          <w:rFonts w:ascii="Titilium" w:eastAsia="Titilium" w:hAnsi="Titilium" w:cs="Titilium"/>
          <w:b/>
          <w:bCs/>
          <w:sz w:val="24"/>
          <w:szCs w:val="24"/>
        </w:rPr>
      </w:pPr>
      <w:bookmarkStart w:id="0" w:name="_heading=h.ly2sbh2x9m1r" w:colFirst="0" w:colLast="0"/>
      <w:bookmarkEnd w:id="0"/>
      <w:r>
        <w:rPr>
          <w:rFonts w:ascii="Titilium" w:eastAsia="Titilium" w:hAnsi="Titilium" w:cs="Titilium"/>
          <w:b/>
          <w:bCs/>
          <w:sz w:val="24"/>
          <w:szCs w:val="24"/>
        </w:rPr>
        <w:t>PROCEDURA APERTA SOTTO SOGLIA COMUNITARIA SU PIATTAFORMA TELEMATICA U-BUY AI SENSI DELL’ART. 71 DEL DECRETO LEGISLATIVO N. 36/2023 E SS.MM.II. PER LA “PROGETTAZIONE E REALIZZAZIONE E FORNITURA DI PARTI MECCANICHE PER STRUMENTI PER LA MISURA DEL CAMPO ELETTRICO E DEL PLASMA NELLO SPAZIO” CON IL CRITERIO DELL’OFFERTA ECONOMICAMENTE PIU’ VANTAGGIOSA, SULLA BASE DEL MIGLIOR RAPPORTO QUALITA’/PREZZO, PER I PROGETTI DAL TITOLO:</w:t>
      </w:r>
    </w:p>
    <w:p w14:paraId="5A1D2C8D" w14:textId="77777777" w:rsidR="00E551BF" w:rsidRDefault="00E551BF">
      <w:pPr>
        <w:ind w:right="-1220" w:hanging="2"/>
        <w:jc w:val="both"/>
        <w:rPr>
          <w:rFonts w:ascii="Titilium" w:eastAsia="Titilium" w:hAnsi="Titilium" w:cs="Titilium"/>
          <w:b/>
          <w:bCs/>
          <w:sz w:val="24"/>
          <w:szCs w:val="24"/>
        </w:rPr>
      </w:pPr>
      <w:bookmarkStart w:id="1" w:name="_heading=h.t2ihjgo0tgme" w:colFirst="0" w:colLast="0"/>
      <w:bookmarkEnd w:id="1"/>
    </w:p>
    <w:p w14:paraId="2C430F0A" w14:textId="77777777" w:rsidR="00E551BF" w:rsidRDefault="00AC5484">
      <w:pPr>
        <w:ind w:right="-1220" w:hanging="2"/>
        <w:jc w:val="both"/>
        <w:rPr>
          <w:rFonts w:ascii="Titilium" w:eastAsia="Titilium" w:hAnsi="Titilium" w:cs="Titilium"/>
          <w:b/>
          <w:bCs/>
          <w:sz w:val="24"/>
          <w:szCs w:val="24"/>
        </w:rPr>
      </w:pPr>
      <w:bookmarkStart w:id="2" w:name="_heading=h.51et8o22ostl" w:colFirst="0" w:colLast="0"/>
      <w:bookmarkEnd w:id="2"/>
      <w:r>
        <w:rPr>
          <w:rFonts w:ascii="Titilium" w:eastAsia="Titilium" w:hAnsi="Titilium" w:cs="Titilium"/>
          <w:b/>
          <w:bCs/>
          <w:sz w:val="24"/>
          <w:szCs w:val="24"/>
        </w:rPr>
        <w:t>- “Large Grant INAF” – FUNZIONI OBIETTIVO 1.05.24.01.14 CODICE UNICO DI PROGETTO: C83C25000270005</w:t>
      </w:r>
    </w:p>
    <w:p w14:paraId="23A4C91A" w14:textId="77777777" w:rsidR="00E551BF" w:rsidRDefault="00E551BF">
      <w:pPr>
        <w:ind w:right="-1220" w:hanging="2"/>
        <w:jc w:val="both"/>
        <w:rPr>
          <w:rFonts w:ascii="Titilium" w:eastAsia="Titilium" w:hAnsi="Titilium" w:cs="Titilium"/>
          <w:b/>
          <w:bCs/>
          <w:sz w:val="24"/>
          <w:szCs w:val="24"/>
        </w:rPr>
      </w:pPr>
      <w:bookmarkStart w:id="3" w:name="_heading=h.uf948cxowm7l" w:colFirst="0" w:colLast="0"/>
      <w:bookmarkEnd w:id="3"/>
    </w:p>
    <w:p w14:paraId="03C3B574" w14:textId="77777777" w:rsidR="00E551BF" w:rsidRDefault="00AC5484">
      <w:pPr>
        <w:ind w:right="-1220" w:hanging="2"/>
        <w:jc w:val="both"/>
        <w:rPr>
          <w:rFonts w:ascii="Titilium" w:eastAsia="Titilium" w:hAnsi="Titilium" w:cs="Titilium"/>
          <w:b/>
          <w:bCs/>
          <w:sz w:val="24"/>
          <w:szCs w:val="24"/>
        </w:rPr>
      </w:pPr>
      <w:bookmarkStart w:id="4" w:name="_heading=h.bzeucranpaq6" w:colFirst="0" w:colLast="0"/>
      <w:bookmarkEnd w:id="4"/>
      <w:r>
        <w:rPr>
          <w:rFonts w:ascii="Titilium" w:eastAsia="Titilium" w:hAnsi="Titilium" w:cs="Titilium"/>
          <w:b/>
          <w:bCs/>
          <w:sz w:val="24"/>
          <w:szCs w:val="24"/>
        </w:rPr>
        <w:t>- “</w:t>
      </w:r>
      <w:proofErr w:type="spellStart"/>
      <w:r>
        <w:rPr>
          <w:rFonts w:ascii="Titilium" w:eastAsia="Titilium" w:hAnsi="Titilium" w:cs="Titilium"/>
          <w:b/>
          <w:bCs/>
          <w:sz w:val="24"/>
          <w:szCs w:val="24"/>
        </w:rPr>
        <w:t>SpaceItUp</w:t>
      </w:r>
      <w:proofErr w:type="spellEnd"/>
      <w:r>
        <w:rPr>
          <w:rFonts w:ascii="Titilium" w:eastAsia="Titilium" w:hAnsi="Titilium" w:cs="Titilium"/>
          <w:b/>
          <w:bCs/>
          <w:sz w:val="24"/>
          <w:szCs w:val="24"/>
        </w:rPr>
        <w:t xml:space="preserve"> – </w:t>
      </w:r>
      <w:proofErr w:type="spellStart"/>
      <w:r>
        <w:rPr>
          <w:rFonts w:ascii="Titilium" w:eastAsia="Titilium" w:hAnsi="Titilium" w:cs="Titilium"/>
          <w:b/>
          <w:bCs/>
          <w:sz w:val="24"/>
          <w:szCs w:val="24"/>
        </w:rPr>
        <w:t>Spoke</w:t>
      </w:r>
      <w:proofErr w:type="spellEnd"/>
      <w:r>
        <w:rPr>
          <w:rFonts w:ascii="Titilium" w:eastAsia="Titilium" w:hAnsi="Titilium" w:cs="Titilium"/>
          <w:b/>
          <w:bCs/>
          <w:sz w:val="24"/>
          <w:szCs w:val="24"/>
        </w:rPr>
        <w:t xml:space="preserve"> 4", FUNZIONI OBIETTIVO 1.05.04.86.01 CODICE UNICO DI PROGETTO: C53C24000360005</w:t>
      </w:r>
    </w:p>
    <w:p w14:paraId="0614CFCD" w14:textId="77777777" w:rsidR="00E551BF" w:rsidRDefault="00E551BF">
      <w:pPr>
        <w:ind w:right="-1220" w:hanging="2"/>
        <w:jc w:val="both"/>
        <w:rPr>
          <w:rFonts w:ascii="Titilium" w:eastAsia="Titilium" w:hAnsi="Titilium" w:cs="Titilium"/>
          <w:b/>
          <w:bCs/>
          <w:sz w:val="24"/>
          <w:szCs w:val="24"/>
        </w:rPr>
      </w:pPr>
      <w:bookmarkStart w:id="5" w:name="_heading=h.sxjx93ejldhg" w:colFirst="0" w:colLast="0"/>
      <w:bookmarkEnd w:id="5"/>
    </w:p>
    <w:p w14:paraId="6774A8D6" w14:textId="77777777" w:rsidR="00E551BF" w:rsidRDefault="00AC5484">
      <w:pPr>
        <w:ind w:right="-1220" w:hanging="2"/>
        <w:jc w:val="both"/>
        <w:rPr>
          <w:rFonts w:ascii="Titilium" w:eastAsia="Titilium" w:hAnsi="Titilium" w:cs="Titilium"/>
          <w:b/>
          <w:bCs/>
          <w:sz w:val="24"/>
          <w:szCs w:val="24"/>
        </w:rPr>
      </w:pPr>
      <w:bookmarkStart w:id="6" w:name="_heading=h.sf9avdeorp6h" w:colFirst="0" w:colLast="0"/>
      <w:bookmarkEnd w:id="6"/>
      <w:r>
        <w:rPr>
          <w:rFonts w:ascii="Titilium" w:eastAsia="Titilium" w:hAnsi="Titilium" w:cs="Titilium"/>
          <w:b/>
          <w:bCs/>
          <w:sz w:val="24"/>
          <w:szCs w:val="24"/>
        </w:rPr>
        <w:t>- “Bando Laboratori INAF” – FUNZIONI OBIETTIVO 1.05.15.19 CODICE UNICO DI PROGETTO: C82B24000470001</w:t>
      </w:r>
    </w:p>
    <w:p w14:paraId="017E10E2" w14:textId="77777777" w:rsidR="00E551BF" w:rsidRDefault="00E551BF">
      <w:pPr>
        <w:ind w:right="-1220" w:hanging="2"/>
        <w:jc w:val="both"/>
        <w:rPr>
          <w:rFonts w:ascii="Titilium" w:eastAsia="Titilium" w:hAnsi="Titilium" w:cs="Titilium"/>
          <w:b/>
          <w:bCs/>
          <w:sz w:val="24"/>
          <w:szCs w:val="24"/>
        </w:rPr>
      </w:pPr>
      <w:bookmarkStart w:id="7" w:name="_heading=h.tevxnwxsatst" w:colFirst="0" w:colLast="0"/>
      <w:bookmarkEnd w:id="7"/>
    </w:p>
    <w:p w14:paraId="5C5A5A3C" w14:textId="77777777" w:rsidR="00E551BF" w:rsidRDefault="00AC5484">
      <w:pPr>
        <w:ind w:right="-1220" w:hanging="2"/>
        <w:jc w:val="both"/>
        <w:rPr>
          <w:rFonts w:ascii="Titilium" w:eastAsia="Titilium" w:hAnsi="Titilium" w:cs="Titilium"/>
          <w:b/>
          <w:bCs/>
          <w:sz w:val="24"/>
          <w:szCs w:val="24"/>
        </w:rPr>
      </w:pPr>
      <w:bookmarkStart w:id="8" w:name="_heading=h.hnova9bkbd5q" w:colFirst="0" w:colLast="0"/>
      <w:bookmarkEnd w:id="8"/>
      <w:r>
        <w:rPr>
          <w:rFonts w:ascii="Titilium" w:eastAsia="Titilium" w:hAnsi="Titilium" w:cs="Titilium"/>
          <w:b/>
          <w:bCs/>
          <w:sz w:val="24"/>
          <w:szCs w:val="24"/>
        </w:rPr>
        <w:t>CODICE DELLA PROCEDURA: G02798</w:t>
      </w:r>
    </w:p>
    <w:p w14:paraId="1144891E" w14:textId="77777777" w:rsidR="00E551BF" w:rsidRDefault="00AC5484">
      <w:pPr>
        <w:ind w:right="-1220" w:hanging="2"/>
        <w:jc w:val="both"/>
        <w:rPr>
          <w:rFonts w:ascii="Titillium" w:eastAsia="Titillium" w:hAnsi="Titillium" w:cs="Titillium"/>
          <w:b/>
          <w:bCs/>
          <w:sz w:val="21"/>
          <w:szCs w:val="21"/>
        </w:rPr>
      </w:pPr>
      <w:r>
        <w:rPr>
          <w:rFonts w:ascii="Titilium" w:eastAsia="Titilium" w:hAnsi="Titilium" w:cs="Titilium"/>
          <w:b/>
          <w:bCs/>
          <w:sz w:val="24"/>
          <w:szCs w:val="24"/>
        </w:rPr>
        <w:t>CUI F97220210583202400080</w:t>
      </w:r>
    </w:p>
    <w:p w14:paraId="0D4CF042" w14:textId="77777777" w:rsidR="00E551BF" w:rsidRDefault="00E551BF">
      <w:pPr>
        <w:ind w:right="-1220" w:hanging="2"/>
        <w:jc w:val="both"/>
        <w:rPr>
          <w:rFonts w:ascii="Titilium" w:eastAsia="Titilium" w:hAnsi="Titilium" w:cs="Titilium"/>
          <w:b/>
          <w:bCs/>
          <w:sz w:val="24"/>
          <w:szCs w:val="24"/>
        </w:rPr>
      </w:pPr>
      <w:bookmarkStart w:id="9" w:name="_heading=h.fm0oiitdsvfc" w:colFirst="0" w:colLast="0"/>
      <w:bookmarkEnd w:id="9"/>
    </w:p>
    <w:p w14:paraId="5BA9DBD5" w14:textId="77777777" w:rsidR="00E551BF" w:rsidRDefault="00E551BF">
      <w:pPr>
        <w:spacing w:after="160"/>
        <w:ind w:left="560" w:right="-1215" w:hanging="560"/>
        <w:jc w:val="both"/>
        <w:rPr>
          <w:rFonts w:ascii="Arial" w:eastAsia="Arial" w:hAnsi="Arial" w:cs="Arial"/>
          <w:b/>
          <w:bCs/>
        </w:rPr>
      </w:pPr>
    </w:p>
    <w:p w14:paraId="1E635BA3" w14:textId="77777777" w:rsidR="00E551BF" w:rsidRDefault="00E551BF">
      <w:pPr>
        <w:ind w:right="-1215" w:hanging="2"/>
        <w:jc w:val="both"/>
        <w:rPr>
          <w:rFonts w:ascii="Arial" w:eastAsia="Arial" w:hAnsi="Arial" w:cs="Arial"/>
          <w:b/>
          <w:bCs/>
        </w:rPr>
      </w:pPr>
    </w:p>
    <w:p w14:paraId="64BF4D36" w14:textId="77777777" w:rsidR="00E551BF" w:rsidRDefault="00E551BF">
      <w:pPr>
        <w:ind w:right="-1215" w:hanging="2"/>
        <w:jc w:val="both"/>
        <w:rPr>
          <w:rFonts w:ascii="Titillium" w:eastAsia="Titillium" w:hAnsi="Titillium" w:cs="Titillium"/>
          <w:b/>
          <w:bCs/>
          <w:sz w:val="21"/>
          <w:szCs w:val="21"/>
        </w:rPr>
      </w:pPr>
    </w:p>
    <w:p w14:paraId="1A01F805" w14:textId="77777777" w:rsidR="00E551BF" w:rsidRDefault="00E551BF">
      <w:pPr>
        <w:pBdr>
          <w:top w:val="nil"/>
          <w:left w:val="nil"/>
          <w:bottom w:val="nil"/>
          <w:right w:val="nil"/>
          <w:between w:val="nil"/>
        </w:pBdr>
        <w:ind w:right="-1362" w:hanging="2"/>
        <w:jc w:val="center"/>
        <w:rPr>
          <w:rFonts w:ascii="Titillium" w:eastAsia="Titillium" w:hAnsi="Titillium" w:cs="Titillium"/>
          <w:color w:val="000000"/>
          <w:sz w:val="21"/>
          <w:szCs w:val="21"/>
          <w:highlight w:val="white"/>
        </w:rPr>
      </w:pPr>
    </w:p>
    <w:p w14:paraId="5894A4C4" w14:textId="77777777" w:rsidR="00E551BF" w:rsidRDefault="00E551BF">
      <w:pPr>
        <w:pBdr>
          <w:top w:val="nil"/>
          <w:left w:val="nil"/>
          <w:bottom w:val="nil"/>
          <w:right w:val="nil"/>
          <w:between w:val="nil"/>
        </w:pBdr>
        <w:ind w:right="-1220" w:hanging="2"/>
        <w:jc w:val="center"/>
        <w:rPr>
          <w:rFonts w:ascii="Titillium" w:eastAsia="Titillium" w:hAnsi="Titillium" w:cs="Titillium"/>
          <w:color w:val="000000"/>
          <w:sz w:val="21"/>
          <w:szCs w:val="21"/>
          <w:highlight w:val="white"/>
        </w:rPr>
      </w:pPr>
    </w:p>
    <w:p w14:paraId="5981E1F2" w14:textId="77777777" w:rsidR="00E551BF" w:rsidRDefault="00AC5484">
      <w:pPr>
        <w:widowControl w:val="0"/>
        <w:pBdr>
          <w:top w:val="nil"/>
          <w:left w:val="nil"/>
          <w:bottom w:val="nil"/>
          <w:right w:val="nil"/>
          <w:between w:val="nil"/>
        </w:pBdr>
        <w:ind w:right="-1220" w:hanging="2"/>
        <w:jc w:val="center"/>
        <w:rPr>
          <w:rFonts w:ascii="Titillium" w:eastAsia="Titillium" w:hAnsi="Titillium" w:cs="Titillium"/>
          <w:b/>
          <w:bCs/>
          <w:color w:val="000000"/>
          <w:sz w:val="21"/>
          <w:szCs w:val="21"/>
          <w:highlight w:val="white"/>
        </w:rPr>
      </w:pPr>
      <w:r>
        <w:rPr>
          <w:rFonts w:ascii="Titillium" w:eastAsia="Titillium" w:hAnsi="Titillium" w:cs="Titillium"/>
          <w:b/>
          <w:bCs/>
          <w:color w:val="000000"/>
          <w:sz w:val="21"/>
          <w:szCs w:val="21"/>
          <w:highlight w:val="white"/>
        </w:rPr>
        <w:t>CONTRATTO DI APPALTO</w:t>
      </w:r>
    </w:p>
    <w:p w14:paraId="66C5EC95" w14:textId="77777777" w:rsidR="00E551BF" w:rsidRDefault="00E551BF">
      <w:pPr>
        <w:widowControl w:val="0"/>
        <w:pBdr>
          <w:top w:val="nil"/>
          <w:left w:val="nil"/>
          <w:bottom w:val="nil"/>
          <w:right w:val="nil"/>
          <w:between w:val="nil"/>
        </w:pBdr>
        <w:ind w:right="-1220" w:hanging="2"/>
        <w:jc w:val="center"/>
        <w:rPr>
          <w:rFonts w:ascii="Titillium" w:eastAsia="Titillium" w:hAnsi="Titillium" w:cs="Titillium"/>
          <w:b/>
          <w:bCs/>
          <w:color w:val="000000"/>
          <w:sz w:val="21"/>
          <w:szCs w:val="21"/>
          <w:highlight w:val="white"/>
        </w:rPr>
      </w:pPr>
    </w:p>
    <w:p w14:paraId="52121101" w14:textId="77777777" w:rsidR="00E551BF" w:rsidRDefault="00AC5484">
      <w:pPr>
        <w:widowControl w:val="0"/>
        <w:pBdr>
          <w:top w:val="nil"/>
          <w:left w:val="nil"/>
          <w:bottom w:val="nil"/>
          <w:right w:val="nil"/>
          <w:between w:val="nil"/>
        </w:pBdr>
        <w:ind w:right="-1220" w:hanging="2"/>
        <w:jc w:val="center"/>
        <w:rPr>
          <w:rFonts w:ascii="Titillium" w:eastAsia="Titillium" w:hAnsi="Titillium" w:cs="Titillium"/>
          <w:b/>
          <w:bCs/>
          <w:color w:val="000000"/>
          <w:sz w:val="21"/>
          <w:szCs w:val="21"/>
          <w:highlight w:val="white"/>
        </w:rPr>
      </w:pPr>
      <w:r>
        <w:rPr>
          <w:rFonts w:ascii="Titillium" w:eastAsia="Titillium" w:hAnsi="Titillium" w:cs="Titillium"/>
          <w:b/>
          <w:bCs/>
          <w:color w:val="000000"/>
          <w:sz w:val="21"/>
          <w:szCs w:val="21"/>
          <w:highlight w:val="white"/>
        </w:rPr>
        <w:t xml:space="preserve">CIG </w:t>
      </w:r>
      <w:proofErr w:type="spellStart"/>
      <w:r>
        <w:rPr>
          <w:rFonts w:ascii="Titillium" w:eastAsia="Titillium" w:hAnsi="Titillium" w:cs="Titillium"/>
          <w:b/>
          <w:bCs/>
          <w:color w:val="FF0000"/>
          <w:sz w:val="21"/>
          <w:szCs w:val="21"/>
          <w:highlight w:val="white"/>
        </w:rPr>
        <w:t>xxxxxxxxx</w:t>
      </w:r>
      <w:proofErr w:type="spellEnd"/>
      <w:r>
        <w:rPr>
          <w:rFonts w:ascii="Titillium" w:eastAsia="Titillium" w:hAnsi="Titillium" w:cs="Titillium"/>
          <w:b/>
          <w:bCs/>
          <w:color w:val="FF0000"/>
          <w:sz w:val="21"/>
          <w:szCs w:val="21"/>
          <w:highlight w:val="white"/>
        </w:rPr>
        <w:t xml:space="preserve">   </w:t>
      </w:r>
      <w:r>
        <w:rPr>
          <w:rFonts w:ascii="Titillium" w:eastAsia="Titillium" w:hAnsi="Titillium" w:cs="Titillium"/>
          <w:b/>
          <w:bCs/>
          <w:color w:val="000000"/>
          <w:sz w:val="21"/>
          <w:szCs w:val="21"/>
          <w:highlight w:val="white"/>
        </w:rPr>
        <w:t>e CUP XXXXXXXXX</w:t>
      </w:r>
    </w:p>
    <w:p w14:paraId="1A233D64" w14:textId="77777777" w:rsidR="00E551BF" w:rsidRDefault="00E551BF">
      <w:pPr>
        <w:widowControl w:val="0"/>
        <w:pBdr>
          <w:top w:val="nil"/>
          <w:left w:val="nil"/>
          <w:bottom w:val="nil"/>
          <w:right w:val="nil"/>
          <w:between w:val="nil"/>
        </w:pBdr>
        <w:ind w:right="-1220" w:hanging="2"/>
        <w:jc w:val="center"/>
        <w:rPr>
          <w:rFonts w:ascii="Titillium" w:eastAsia="Titillium" w:hAnsi="Titillium" w:cs="Titillium"/>
          <w:b/>
          <w:bCs/>
          <w:color w:val="000000"/>
          <w:sz w:val="21"/>
          <w:szCs w:val="21"/>
          <w:highlight w:val="white"/>
        </w:rPr>
      </w:pPr>
    </w:p>
    <w:p w14:paraId="54F6D9A1" w14:textId="77777777" w:rsidR="00E551BF" w:rsidRDefault="00AC5484">
      <w:pPr>
        <w:widowControl w:val="0"/>
        <w:pBdr>
          <w:top w:val="nil"/>
          <w:left w:val="nil"/>
          <w:bottom w:val="nil"/>
          <w:right w:val="nil"/>
          <w:between w:val="nil"/>
        </w:pBdr>
        <w:ind w:right="-1220" w:hanging="2"/>
        <w:jc w:val="center"/>
        <w:rPr>
          <w:rFonts w:ascii="Titillium" w:eastAsia="Titillium" w:hAnsi="Titillium" w:cs="Titillium"/>
          <w:b/>
          <w:bCs/>
          <w:color w:val="000000"/>
          <w:sz w:val="21"/>
          <w:szCs w:val="21"/>
          <w:highlight w:val="white"/>
        </w:rPr>
      </w:pPr>
      <w:r>
        <w:rPr>
          <w:rFonts w:ascii="Titillium" w:eastAsia="Titillium" w:hAnsi="Titillium" w:cs="Titillium"/>
          <w:b/>
          <w:bCs/>
          <w:color w:val="000000"/>
          <w:sz w:val="21"/>
          <w:szCs w:val="21"/>
          <w:highlight w:val="white"/>
        </w:rPr>
        <w:t>TRA</w:t>
      </w:r>
    </w:p>
    <w:p w14:paraId="1D07C716" w14:textId="77777777" w:rsidR="00E551BF" w:rsidRDefault="00AC5484">
      <w:pPr>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b/>
          <w:bCs/>
          <w:color w:val="000000"/>
          <w:sz w:val="21"/>
          <w:szCs w:val="21"/>
          <w:highlight w:val="white"/>
        </w:rPr>
        <w:t xml:space="preserve">Istituto di Astrofisica e Planetologia Spaziali - INAF </w:t>
      </w:r>
      <w:r>
        <w:rPr>
          <w:rFonts w:ascii="Titillium" w:eastAsia="Titillium" w:hAnsi="Titillium" w:cs="Titillium"/>
          <w:color w:val="000000"/>
          <w:sz w:val="21"/>
          <w:szCs w:val="21"/>
          <w:highlight w:val="white"/>
        </w:rPr>
        <w:t xml:space="preserve">con sede legale in Via del Fosso del cavaliere, 100 Codice Fiscale 97220210583 e Partita I.V.A. 06895721006 nella persona di Marco Feroci, Codice fiscale </w:t>
      </w:r>
      <w:r>
        <w:rPr>
          <w:rFonts w:ascii="Titillium" w:eastAsia="Titillium" w:hAnsi="Titillium" w:cs="Titillium"/>
          <w:b/>
          <w:bCs/>
          <w:color w:val="000000"/>
          <w:sz w:val="21"/>
          <w:szCs w:val="21"/>
          <w:highlight w:val="white"/>
        </w:rPr>
        <w:t>FRCMRC67T02H501O</w:t>
      </w:r>
      <w:r>
        <w:rPr>
          <w:rFonts w:ascii="Titillium" w:eastAsia="Titillium" w:hAnsi="Titillium" w:cs="Titillium"/>
          <w:color w:val="000000"/>
          <w:sz w:val="21"/>
          <w:szCs w:val="21"/>
          <w:highlight w:val="white"/>
        </w:rPr>
        <w:t xml:space="preserve"> da una parte, domiciliato per la carica presso la sede legale del </w:t>
      </w:r>
      <w:proofErr w:type="gramStart"/>
      <w:r>
        <w:rPr>
          <w:rFonts w:ascii="Titillium" w:eastAsia="Titillium" w:hAnsi="Titillium" w:cs="Titillium"/>
          <w:color w:val="000000"/>
          <w:sz w:val="21"/>
          <w:szCs w:val="21"/>
          <w:highlight w:val="white"/>
        </w:rPr>
        <w:t>predetto</w:t>
      </w:r>
      <w:proofErr w:type="gramEnd"/>
      <w:r>
        <w:rPr>
          <w:rFonts w:ascii="Titillium" w:eastAsia="Titillium" w:hAnsi="Titillium" w:cs="Titillium"/>
          <w:color w:val="000000"/>
          <w:sz w:val="21"/>
          <w:szCs w:val="21"/>
          <w:highlight w:val="white"/>
        </w:rPr>
        <w:t xml:space="preserve"> Istituto, in qualità di Direttore e Legale Rappresentante, da una parte,</w:t>
      </w:r>
    </w:p>
    <w:p w14:paraId="4E6D696A" w14:textId="77777777" w:rsidR="00E551BF" w:rsidRDefault="00AC5484">
      <w:pPr>
        <w:widowControl w:val="0"/>
        <w:pBdr>
          <w:top w:val="nil"/>
          <w:left w:val="nil"/>
          <w:bottom w:val="nil"/>
          <w:right w:val="nil"/>
          <w:between w:val="nil"/>
        </w:pBdr>
        <w:ind w:right="-1220" w:hanging="2"/>
        <w:jc w:val="center"/>
        <w:rPr>
          <w:rFonts w:ascii="Titillium" w:eastAsia="Titillium" w:hAnsi="Titillium" w:cs="Titillium"/>
          <w:b/>
          <w:bCs/>
          <w:color w:val="000000"/>
          <w:sz w:val="21"/>
          <w:szCs w:val="21"/>
          <w:highlight w:val="white"/>
        </w:rPr>
      </w:pPr>
      <w:r>
        <w:rPr>
          <w:rFonts w:ascii="Titillium" w:eastAsia="Titillium" w:hAnsi="Titillium" w:cs="Titillium"/>
          <w:b/>
          <w:bCs/>
          <w:color w:val="000000"/>
          <w:sz w:val="21"/>
          <w:szCs w:val="21"/>
          <w:highlight w:val="white"/>
        </w:rPr>
        <w:t>E</w:t>
      </w:r>
    </w:p>
    <w:p w14:paraId="5671D9DA" w14:textId="77777777" w:rsidR="00E551BF" w:rsidRDefault="00AC5484">
      <w:pPr>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la Società</w:t>
      </w:r>
      <w:r>
        <w:rPr>
          <w:rFonts w:ascii="Titillium" w:eastAsia="Titillium" w:hAnsi="Titillium" w:cs="Titillium"/>
          <w:b/>
          <w:bCs/>
          <w:color w:val="000000"/>
          <w:sz w:val="21"/>
          <w:szCs w:val="21"/>
          <w:highlight w:val="white"/>
        </w:rPr>
        <w:t xml:space="preserve"> </w:t>
      </w:r>
      <w:proofErr w:type="spellStart"/>
      <w:r>
        <w:rPr>
          <w:rFonts w:ascii="Titillium" w:eastAsia="Titillium" w:hAnsi="Titillium" w:cs="Titillium"/>
          <w:b/>
          <w:bCs/>
          <w:color w:val="FF0000"/>
          <w:sz w:val="21"/>
          <w:szCs w:val="21"/>
          <w:highlight w:val="white"/>
        </w:rPr>
        <w:t>xxxxxxxxxxxxxxxxxxxx</w:t>
      </w:r>
      <w:proofErr w:type="spellEnd"/>
      <w:r>
        <w:rPr>
          <w:rFonts w:ascii="Titillium" w:eastAsia="Titillium" w:hAnsi="Titillium" w:cs="Titillium"/>
          <w:color w:val="FF0000"/>
          <w:sz w:val="21"/>
          <w:szCs w:val="21"/>
          <w:highlight w:val="white"/>
        </w:rPr>
        <w:t xml:space="preserve"> </w:t>
      </w:r>
      <w:r>
        <w:rPr>
          <w:rFonts w:ascii="Titillium" w:eastAsia="Titillium" w:hAnsi="Titillium" w:cs="Titillium"/>
          <w:color w:val="000000"/>
          <w:sz w:val="21"/>
          <w:szCs w:val="21"/>
          <w:highlight w:val="white"/>
        </w:rPr>
        <w:t xml:space="preserve">in seguito indicata come “IMPRESA”, con sede legale </w:t>
      </w:r>
      <w:proofErr w:type="spellStart"/>
      <w:r>
        <w:rPr>
          <w:rFonts w:ascii="Titillium" w:eastAsia="Titillium" w:hAnsi="Titillium" w:cs="Titillium"/>
          <w:color w:val="FF0000"/>
          <w:sz w:val="21"/>
          <w:szCs w:val="21"/>
          <w:highlight w:val="white"/>
        </w:rPr>
        <w:t>xxxxxxxxxxxxxxxxx</w:t>
      </w:r>
      <w:proofErr w:type="spellEnd"/>
      <w:r>
        <w:rPr>
          <w:rFonts w:ascii="Titillium" w:eastAsia="Titillium" w:hAnsi="Titillium" w:cs="Titillium"/>
          <w:color w:val="FF0000"/>
          <w:sz w:val="21"/>
          <w:szCs w:val="21"/>
          <w:highlight w:val="white"/>
        </w:rPr>
        <w:t xml:space="preserve"> </w:t>
      </w:r>
      <w:r>
        <w:rPr>
          <w:rFonts w:ascii="Titillium" w:eastAsia="Titillium" w:hAnsi="Titillium" w:cs="Titillium"/>
          <w:color w:val="000000"/>
          <w:sz w:val="21"/>
          <w:szCs w:val="21"/>
          <w:highlight w:val="white"/>
        </w:rPr>
        <w:t xml:space="preserve">e Codice Fiscale </w:t>
      </w:r>
      <w:proofErr w:type="spellStart"/>
      <w:proofErr w:type="gramStart"/>
      <w:r>
        <w:rPr>
          <w:rFonts w:ascii="Titillium" w:eastAsia="Titillium" w:hAnsi="Titillium" w:cs="Titillium"/>
          <w:b/>
          <w:bCs/>
          <w:color w:val="FF0000"/>
          <w:sz w:val="21"/>
          <w:szCs w:val="21"/>
          <w:highlight w:val="white"/>
        </w:rPr>
        <w:t>xxxxxxxxxxxx</w:t>
      </w:r>
      <w:proofErr w:type="spellEnd"/>
      <w:r>
        <w:rPr>
          <w:rFonts w:ascii="Titillium" w:eastAsia="Titillium" w:hAnsi="Titillium" w:cs="Titillium"/>
          <w:b/>
          <w:bCs/>
          <w:color w:val="FF0000"/>
          <w:sz w:val="21"/>
          <w:szCs w:val="21"/>
          <w:highlight w:val="white"/>
        </w:rPr>
        <w:t xml:space="preserve">  </w:t>
      </w:r>
      <w:r>
        <w:rPr>
          <w:rFonts w:ascii="Titillium" w:eastAsia="Titillium" w:hAnsi="Titillium" w:cs="Titillium"/>
          <w:color w:val="000000"/>
          <w:sz w:val="21"/>
          <w:szCs w:val="21"/>
          <w:highlight w:val="white"/>
        </w:rPr>
        <w:t>nella</w:t>
      </w:r>
      <w:proofErr w:type="gramEnd"/>
      <w:r>
        <w:rPr>
          <w:rFonts w:ascii="Titillium" w:eastAsia="Titillium" w:hAnsi="Titillium" w:cs="Titillium"/>
          <w:color w:val="000000"/>
          <w:sz w:val="21"/>
          <w:szCs w:val="21"/>
          <w:highlight w:val="white"/>
        </w:rPr>
        <w:t xml:space="preserve"> persona del Sig. </w:t>
      </w:r>
      <w:proofErr w:type="spellStart"/>
      <w:r>
        <w:rPr>
          <w:rFonts w:ascii="Titillium" w:eastAsia="Titillium" w:hAnsi="Titillium" w:cs="Titillium"/>
          <w:b/>
          <w:bCs/>
          <w:color w:val="FF0000"/>
          <w:sz w:val="21"/>
          <w:szCs w:val="21"/>
          <w:highlight w:val="white"/>
        </w:rPr>
        <w:t>xxxxxxxxxxxxx</w:t>
      </w:r>
      <w:proofErr w:type="spellEnd"/>
      <w:r>
        <w:rPr>
          <w:rFonts w:ascii="Titillium" w:eastAsia="Titillium" w:hAnsi="Titillium" w:cs="Titillium"/>
          <w:color w:val="000000"/>
          <w:sz w:val="21"/>
          <w:szCs w:val="21"/>
          <w:highlight w:val="white"/>
        </w:rPr>
        <w:t xml:space="preserve">, domiciliato per la carica presso la sede legale della </w:t>
      </w:r>
      <w:proofErr w:type="gramStart"/>
      <w:r>
        <w:rPr>
          <w:rFonts w:ascii="Titillium" w:eastAsia="Titillium" w:hAnsi="Titillium" w:cs="Titillium"/>
          <w:color w:val="000000"/>
          <w:sz w:val="21"/>
          <w:szCs w:val="21"/>
          <w:highlight w:val="white"/>
        </w:rPr>
        <w:t>predetta</w:t>
      </w:r>
      <w:proofErr w:type="gramEnd"/>
      <w:r>
        <w:rPr>
          <w:rFonts w:ascii="Titillium" w:eastAsia="Titillium" w:hAnsi="Titillium" w:cs="Titillium"/>
          <w:color w:val="000000"/>
          <w:sz w:val="21"/>
          <w:szCs w:val="21"/>
          <w:highlight w:val="white"/>
        </w:rPr>
        <w:t xml:space="preserve"> società, in qualità di Legale Rappresentante, dall’altra parte</w:t>
      </w:r>
    </w:p>
    <w:p w14:paraId="68BF71EF" w14:textId="77777777" w:rsidR="00E551BF" w:rsidRDefault="00E551BF">
      <w:pPr>
        <w:widowControl w:val="0"/>
        <w:pBdr>
          <w:top w:val="nil"/>
          <w:left w:val="nil"/>
          <w:bottom w:val="nil"/>
          <w:right w:val="nil"/>
          <w:between w:val="nil"/>
        </w:pBdr>
        <w:ind w:right="-1220" w:hanging="2"/>
        <w:jc w:val="both"/>
        <w:rPr>
          <w:rFonts w:ascii="Titillium" w:eastAsia="Titillium" w:hAnsi="Titillium" w:cs="Titillium"/>
          <w:sz w:val="21"/>
          <w:szCs w:val="21"/>
          <w:highlight w:val="white"/>
        </w:rPr>
      </w:pPr>
    </w:p>
    <w:p w14:paraId="1382D3B1" w14:textId="77777777" w:rsidR="00E551BF" w:rsidRDefault="00AC5484">
      <w:pPr>
        <w:widowControl w:val="0"/>
        <w:pBdr>
          <w:top w:val="nil"/>
          <w:left w:val="nil"/>
          <w:bottom w:val="nil"/>
          <w:right w:val="nil"/>
          <w:between w:val="nil"/>
        </w:pBdr>
        <w:ind w:right="-1220" w:hanging="2"/>
        <w:jc w:val="center"/>
        <w:rPr>
          <w:rFonts w:ascii="Titillium" w:eastAsia="Titillium" w:hAnsi="Titillium" w:cs="Titillium"/>
          <w:b/>
          <w:bCs/>
          <w:color w:val="000000"/>
          <w:sz w:val="21"/>
          <w:szCs w:val="21"/>
          <w:highlight w:val="white"/>
        </w:rPr>
      </w:pPr>
      <w:r>
        <w:rPr>
          <w:rFonts w:ascii="Titillium" w:eastAsia="Titillium" w:hAnsi="Titillium" w:cs="Titillium"/>
          <w:b/>
          <w:bCs/>
          <w:color w:val="000000"/>
          <w:sz w:val="21"/>
          <w:szCs w:val="21"/>
          <w:highlight w:val="white"/>
        </w:rPr>
        <w:t>PREMESSO</w:t>
      </w:r>
    </w:p>
    <w:p w14:paraId="1CFFD610" w14:textId="77777777" w:rsidR="00E551BF" w:rsidRDefault="00AC5484">
      <w:pPr>
        <w:widowControl w:val="0"/>
        <w:numPr>
          <w:ilvl w:val="0"/>
          <w:numId w:val="2"/>
        </w:numPr>
        <w:pBdr>
          <w:top w:val="nil"/>
          <w:left w:val="nil"/>
          <w:bottom w:val="nil"/>
          <w:right w:val="nil"/>
          <w:between w:val="nil"/>
        </w:pBdr>
        <w:ind w:left="0" w:right="-1220" w:hanging="2"/>
        <w:jc w:val="both"/>
        <w:rPr>
          <w:rFonts w:ascii="Titillium" w:eastAsia="Titillium" w:hAnsi="Titillium" w:cs="Titillium"/>
          <w:b/>
          <w:bCs/>
          <w:sz w:val="21"/>
          <w:szCs w:val="21"/>
          <w:highlight w:val="white"/>
        </w:rPr>
      </w:pPr>
      <w:r>
        <w:rPr>
          <w:rFonts w:ascii="Titillium" w:eastAsia="Titillium" w:hAnsi="Titillium" w:cs="Titillium"/>
          <w:sz w:val="21"/>
          <w:szCs w:val="21"/>
          <w:highlight w:val="white"/>
        </w:rPr>
        <w:t xml:space="preserve">che a seguito di procedura svolta ai sensi ai sensi dell’Art. 71 del Decreto legislativo 31 marzo 2023, n. 36, </w:t>
      </w:r>
      <w:r>
        <w:rPr>
          <w:rFonts w:ascii="Titillium" w:eastAsia="Titillium" w:hAnsi="Titillium" w:cs="Titillium"/>
          <w:i/>
          <w:iCs/>
          <w:sz w:val="21"/>
          <w:szCs w:val="21"/>
          <w:highlight w:val="white"/>
        </w:rPr>
        <w:t>“Codice dei contratti pubblici</w:t>
      </w:r>
      <w:r>
        <w:rPr>
          <w:rFonts w:ascii="Titillium" w:eastAsia="Titillium" w:hAnsi="Titillium" w:cs="Titillium"/>
          <w:sz w:val="21"/>
          <w:szCs w:val="21"/>
          <w:highlight w:val="white"/>
        </w:rPr>
        <w:t>”, in attuazione dell'</w:t>
      </w:r>
      <w:hyperlink r:id="rId8" w:anchor="_inizio">
        <w:r>
          <w:rPr>
            <w:rFonts w:ascii="Titillium" w:eastAsia="Titillium" w:hAnsi="Titillium" w:cs="Titillium"/>
            <w:sz w:val="21"/>
            <w:szCs w:val="21"/>
            <w:highlight w:val="white"/>
          </w:rPr>
          <w:t>articolo 1 della legge 21 giugno 2022, n. 78</w:t>
        </w:r>
      </w:hyperlink>
      <w:r>
        <w:rPr>
          <w:rFonts w:ascii="Titillium" w:eastAsia="Titillium" w:hAnsi="Titillium" w:cs="Titillium"/>
          <w:sz w:val="21"/>
          <w:szCs w:val="21"/>
          <w:highlight w:val="white"/>
        </w:rPr>
        <w:t xml:space="preserve">, recante “delega al Governo in materia di contratti pubblici”, approvata con </w:t>
      </w:r>
      <w:proofErr w:type="spellStart"/>
      <w:r>
        <w:rPr>
          <w:rFonts w:ascii="Titillium" w:eastAsia="Titillium" w:hAnsi="Titillium" w:cs="Titillium"/>
          <w:b/>
          <w:bCs/>
          <w:color w:val="FF0000"/>
          <w:sz w:val="21"/>
          <w:szCs w:val="21"/>
          <w:highlight w:val="white"/>
        </w:rPr>
        <w:t>xxxxxxxxxxx</w:t>
      </w:r>
      <w:proofErr w:type="spellEnd"/>
      <w:r>
        <w:rPr>
          <w:rFonts w:ascii="Titillium" w:eastAsia="Titillium" w:hAnsi="Titillium" w:cs="Titillium"/>
          <w:sz w:val="21"/>
          <w:szCs w:val="21"/>
          <w:highlight w:val="white"/>
        </w:rPr>
        <w:t xml:space="preserve">, è stato </w:t>
      </w:r>
      <w:r>
        <w:rPr>
          <w:rFonts w:ascii="Titillium" w:eastAsia="Titillium" w:hAnsi="Titillium" w:cs="Titillium"/>
          <w:sz w:val="21"/>
          <w:szCs w:val="21"/>
          <w:highlight w:val="white"/>
        </w:rPr>
        <w:lastRenderedPageBreak/>
        <w:t>affidato all’</w:t>
      </w:r>
      <w:r>
        <w:rPr>
          <w:rFonts w:ascii="Titillium" w:eastAsia="Titillium" w:hAnsi="Titillium" w:cs="Titillium"/>
          <w:b/>
          <w:bCs/>
          <w:sz w:val="21"/>
          <w:szCs w:val="21"/>
          <w:highlight w:val="white"/>
        </w:rPr>
        <w:t xml:space="preserve">IMPRESA </w:t>
      </w:r>
      <w:proofErr w:type="spellStart"/>
      <w:r>
        <w:rPr>
          <w:rFonts w:ascii="Titillium" w:eastAsia="Titillium" w:hAnsi="Titillium" w:cs="Titillium"/>
          <w:b/>
          <w:bCs/>
          <w:color w:val="FF0000"/>
          <w:sz w:val="21"/>
          <w:szCs w:val="21"/>
          <w:highlight w:val="white"/>
        </w:rPr>
        <w:t>xxxxxxxxxx</w:t>
      </w:r>
      <w:proofErr w:type="spellEnd"/>
      <w:r>
        <w:rPr>
          <w:rFonts w:ascii="Titillium" w:eastAsia="Titillium" w:hAnsi="Titillium" w:cs="Titillium"/>
          <w:b/>
          <w:bCs/>
          <w:color w:val="FF0000"/>
          <w:sz w:val="21"/>
          <w:szCs w:val="21"/>
          <w:highlight w:val="white"/>
        </w:rPr>
        <w:t xml:space="preserve"> </w:t>
      </w:r>
      <w:r>
        <w:rPr>
          <w:rFonts w:ascii="Titillium" w:eastAsia="Titillium" w:hAnsi="Titillium" w:cs="Titillium"/>
          <w:sz w:val="21"/>
          <w:szCs w:val="21"/>
          <w:highlight w:val="white"/>
        </w:rPr>
        <w:t xml:space="preserve">l’appalto per la </w:t>
      </w:r>
      <w:r>
        <w:rPr>
          <w:rFonts w:ascii="Titillium" w:eastAsia="Titillium" w:hAnsi="Titillium" w:cs="Titillium"/>
          <w:sz w:val="21"/>
          <w:szCs w:val="21"/>
        </w:rPr>
        <w:t>“PROGETTAZIONE , REALIZZAZIONE E FORNITURA DI ‘SCHEDE DI ELETTRONICA” PER PROTOTIPO DI STRUMENTO PER LA MISURA DEL CAMPO ELETTRICO E DEL PLASMA SPAZIALE</w:t>
      </w:r>
      <w:r>
        <w:rPr>
          <w:rFonts w:ascii="Titillium" w:eastAsia="Titillium" w:hAnsi="Titillium" w:cs="Titillium"/>
          <w:sz w:val="21"/>
          <w:szCs w:val="21"/>
          <w:highlight w:val="white"/>
        </w:rPr>
        <w:t xml:space="preserve"> </w:t>
      </w:r>
      <w:r>
        <w:rPr>
          <w:rFonts w:ascii="Titillium" w:eastAsia="Titillium" w:hAnsi="Titillium" w:cs="Titillium"/>
          <w:b/>
          <w:bCs/>
          <w:sz w:val="21"/>
          <w:szCs w:val="21"/>
          <w:highlight w:val="white"/>
        </w:rPr>
        <w:t>;</w:t>
      </w:r>
    </w:p>
    <w:p w14:paraId="1DC3F676" w14:textId="77777777" w:rsidR="00E551BF" w:rsidRDefault="00AC5484">
      <w:pPr>
        <w:widowControl w:val="0"/>
        <w:numPr>
          <w:ilvl w:val="0"/>
          <w:numId w:val="2"/>
        </w:numPr>
        <w:pBdr>
          <w:top w:val="nil"/>
          <w:left w:val="nil"/>
          <w:bottom w:val="nil"/>
          <w:right w:val="nil"/>
          <w:between w:val="nil"/>
        </w:pBdr>
        <w:ind w:left="0"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che l’impresa risulta in regola con i requisiti previsti</w:t>
      </w:r>
      <w:r>
        <w:rPr>
          <w:rFonts w:ascii="Titillium" w:eastAsia="Titillium" w:hAnsi="Titillium" w:cs="Titillium"/>
          <w:sz w:val="21"/>
          <w:szCs w:val="21"/>
          <w:highlight w:val="white"/>
        </w:rPr>
        <w:t xml:space="preserve"> dalla legge</w:t>
      </w:r>
      <w:r>
        <w:rPr>
          <w:rFonts w:ascii="Titillium" w:eastAsia="Titillium" w:hAnsi="Titillium" w:cs="Titillium"/>
          <w:color w:val="000000"/>
          <w:sz w:val="21"/>
          <w:szCs w:val="21"/>
          <w:highlight w:val="white"/>
        </w:rPr>
        <w:t>, e che lo stesso ha presentato quanto previsto per la stipula del presente contratto;</w:t>
      </w:r>
    </w:p>
    <w:p w14:paraId="01D2CDC2" w14:textId="77777777" w:rsidR="00E551BF" w:rsidRDefault="00AC5484">
      <w:pPr>
        <w:widowControl w:val="0"/>
        <w:numPr>
          <w:ilvl w:val="0"/>
          <w:numId w:val="2"/>
        </w:numPr>
        <w:pBdr>
          <w:top w:val="nil"/>
          <w:left w:val="nil"/>
          <w:bottom w:val="nil"/>
          <w:right w:val="nil"/>
          <w:between w:val="nil"/>
        </w:pBdr>
        <w:ind w:left="0"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che l’IMPRESA sottoscrivendo il presente Contratto, dichiara, ai sensi e per gli effetti di cui agli articoli 1341 e 1342 del </w:t>
      </w:r>
      <w:proofErr w:type="gramStart"/>
      <w:r>
        <w:rPr>
          <w:rFonts w:ascii="Titillium" w:eastAsia="Titillium" w:hAnsi="Titillium" w:cs="Titillium"/>
          <w:color w:val="000000"/>
          <w:sz w:val="21"/>
          <w:szCs w:val="21"/>
          <w:highlight w:val="white"/>
        </w:rPr>
        <w:t>Codice Civile</w:t>
      </w:r>
      <w:proofErr w:type="gramEnd"/>
      <w:r>
        <w:rPr>
          <w:rFonts w:ascii="Titillium" w:eastAsia="Titillium" w:hAnsi="Titillium" w:cs="Titillium"/>
          <w:color w:val="000000"/>
          <w:sz w:val="21"/>
          <w:szCs w:val="21"/>
          <w:highlight w:val="white"/>
        </w:rPr>
        <w:t>, di accettare tutte le condizioni e patti contenuti nel presente contratto e di avere particolarmente considerato quanto stabilito e convenuto con le relative clausole;</w:t>
      </w:r>
    </w:p>
    <w:p w14:paraId="0F2C4A7F" w14:textId="77777777" w:rsidR="00E551BF" w:rsidRDefault="00AC5484">
      <w:pPr>
        <w:widowControl w:val="0"/>
        <w:numPr>
          <w:ilvl w:val="0"/>
          <w:numId w:val="3"/>
        </w:numPr>
        <w:pBdr>
          <w:top w:val="nil"/>
          <w:left w:val="nil"/>
          <w:bottom w:val="nil"/>
          <w:right w:val="nil"/>
          <w:between w:val="nil"/>
        </w:pBdr>
        <w:ind w:left="0"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che l'IMPRESA ha presentato la documentazione richiesta ai fini della stipula del presente contratto la quale, anche se non materialmente allegata, ne forma parte integrante e sostanziale;</w:t>
      </w:r>
    </w:p>
    <w:p w14:paraId="31329466" w14:textId="77777777" w:rsidR="00E551BF" w:rsidRDefault="00AC5484">
      <w:pPr>
        <w:widowControl w:val="0"/>
        <w:numPr>
          <w:ilvl w:val="0"/>
          <w:numId w:val="4"/>
        </w:numPr>
        <w:pBdr>
          <w:top w:val="nil"/>
          <w:left w:val="nil"/>
          <w:bottom w:val="nil"/>
          <w:right w:val="nil"/>
          <w:between w:val="nil"/>
        </w:pBdr>
        <w:ind w:left="0"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che sono state effettuate le verifiche delle dichiarazioni rese;</w:t>
      </w:r>
    </w:p>
    <w:p w14:paraId="7C73E89D" w14:textId="77777777" w:rsidR="00E551BF" w:rsidRDefault="00E551BF">
      <w:pPr>
        <w:widowControl w:val="0"/>
        <w:numPr>
          <w:ilvl w:val="0"/>
          <w:numId w:val="1"/>
        </w:numPr>
        <w:pBdr>
          <w:top w:val="nil"/>
          <w:left w:val="nil"/>
          <w:bottom w:val="nil"/>
          <w:right w:val="nil"/>
          <w:between w:val="nil"/>
        </w:pBdr>
        <w:ind w:left="0" w:right="-1220" w:hanging="2"/>
        <w:jc w:val="both"/>
        <w:rPr>
          <w:rFonts w:ascii="Titillium" w:eastAsia="Titillium" w:hAnsi="Titillium" w:cs="Titillium"/>
          <w:color w:val="FF0000"/>
          <w:sz w:val="21"/>
          <w:szCs w:val="21"/>
          <w:highlight w:val="white"/>
        </w:rPr>
      </w:pPr>
    </w:p>
    <w:p w14:paraId="05AFCDE5" w14:textId="77777777" w:rsidR="00E551BF" w:rsidRDefault="00AC5484">
      <w:pPr>
        <w:keepNext/>
        <w:widowControl w:val="0"/>
        <w:pBdr>
          <w:top w:val="nil"/>
          <w:left w:val="nil"/>
          <w:bottom w:val="nil"/>
          <w:right w:val="nil"/>
          <w:between w:val="nil"/>
        </w:pBdr>
        <w:ind w:right="-1220" w:hanging="2"/>
        <w:jc w:val="center"/>
        <w:rPr>
          <w:rFonts w:ascii="Titillium" w:eastAsia="Titillium" w:hAnsi="Titillium" w:cs="Titillium"/>
          <w:b/>
          <w:bCs/>
          <w:color w:val="000000"/>
          <w:sz w:val="21"/>
          <w:szCs w:val="21"/>
          <w:highlight w:val="white"/>
        </w:rPr>
      </w:pPr>
      <w:r>
        <w:rPr>
          <w:rFonts w:ascii="Titillium" w:eastAsia="Titillium" w:hAnsi="Titillium" w:cs="Titillium"/>
          <w:b/>
          <w:bCs/>
          <w:color w:val="000000"/>
          <w:sz w:val="21"/>
          <w:szCs w:val="21"/>
          <w:highlight w:val="white"/>
        </w:rPr>
        <w:t>TUTTO CIÒ PREMESSO</w:t>
      </w:r>
    </w:p>
    <w:p w14:paraId="447A6B3C" w14:textId="77777777" w:rsidR="00E551BF" w:rsidRDefault="00E551BF">
      <w:pPr>
        <w:keepNext/>
        <w:widowControl w:val="0"/>
        <w:pBdr>
          <w:top w:val="nil"/>
          <w:left w:val="nil"/>
          <w:bottom w:val="nil"/>
          <w:right w:val="nil"/>
          <w:between w:val="nil"/>
        </w:pBdr>
        <w:ind w:right="-1220" w:hanging="2"/>
        <w:jc w:val="center"/>
        <w:rPr>
          <w:rFonts w:ascii="Titillium" w:eastAsia="Titillium" w:hAnsi="Titillium" w:cs="Titillium"/>
          <w:b/>
          <w:bCs/>
          <w:sz w:val="21"/>
          <w:szCs w:val="21"/>
          <w:highlight w:val="white"/>
        </w:rPr>
      </w:pPr>
    </w:p>
    <w:p w14:paraId="2770BA9C"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Le Parti, come sopra costituite, convengono e stipulano quanto segue:</w:t>
      </w:r>
    </w:p>
    <w:p w14:paraId="2AB3B609" w14:textId="77777777" w:rsidR="00E551BF" w:rsidRDefault="00E551BF">
      <w:pPr>
        <w:keepNext/>
        <w:widowControl w:val="0"/>
        <w:pBdr>
          <w:top w:val="nil"/>
          <w:left w:val="nil"/>
          <w:bottom w:val="nil"/>
          <w:right w:val="nil"/>
          <w:between w:val="nil"/>
        </w:pBdr>
        <w:ind w:right="-1220" w:hanging="2"/>
        <w:jc w:val="both"/>
        <w:rPr>
          <w:rFonts w:ascii="Titillium" w:eastAsia="Titillium" w:hAnsi="Titillium" w:cs="Titillium"/>
          <w:sz w:val="21"/>
          <w:szCs w:val="21"/>
          <w:highlight w:val="white"/>
        </w:rPr>
      </w:pPr>
    </w:p>
    <w:p w14:paraId="4B5B360F" w14:textId="77777777" w:rsidR="00E551BF" w:rsidRDefault="00AC5484">
      <w:pPr>
        <w:widowControl w:val="0"/>
        <w:pBdr>
          <w:top w:val="nil"/>
          <w:left w:val="nil"/>
          <w:bottom w:val="nil"/>
          <w:right w:val="nil"/>
          <w:between w:val="nil"/>
        </w:pBdr>
        <w:tabs>
          <w:tab w:val="left" w:pos="1134"/>
        </w:tabs>
        <w:ind w:right="-1220" w:hanging="2"/>
        <w:jc w:val="center"/>
        <w:rPr>
          <w:rFonts w:ascii="Titillium" w:eastAsia="Titillium" w:hAnsi="Titillium" w:cs="Titillium"/>
          <w:color w:val="000000"/>
          <w:sz w:val="21"/>
          <w:szCs w:val="21"/>
          <w:highlight w:val="white"/>
        </w:rPr>
      </w:pPr>
      <w:r>
        <w:rPr>
          <w:rFonts w:ascii="Titillium" w:eastAsia="Titillium" w:hAnsi="Titillium" w:cs="Titillium"/>
          <w:b/>
          <w:bCs/>
          <w:color w:val="000000"/>
          <w:sz w:val="21"/>
          <w:szCs w:val="21"/>
          <w:highlight w:val="white"/>
          <w:u w:val="single"/>
        </w:rPr>
        <w:t>Art.  1 Valore delle premesse e degli allegati</w:t>
      </w:r>
    </w:p>
    <w:p w14:paraId="0535BF89" w14:textId="77777777" w:rsidR="00E551BF" w:rsidRDefault="00AC5484">
      <w:pPr>
        <w:widowControl w:val="0"/>
        <w:pBdr>
          <w:top w:val="nil"/>
          <w:left w:val="nil"/>
          <w:bottom w:val="nil"/>
          <w:right w:val="nil"/>
          <w:between w:val="nil"/>
        </w:pBdr>
        <w:tabs>
          <w:tab w:val="left" w:pos="1134"/>
        </w:tabs>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 Le premesse di cui sopra, gli atti e i documenti richiamati nelle medesime e nella restante parte del presente contratto, ivi inclusi, il Disciplinare, il Capitolato </w:t>
      </w:r>
      <w:proofErr w:type="gramStart"/>
      <w:r>
        <w:rPr>
          <w:rFonts w:ascii="Titillium" w:eastAsia="Titillium" w:hAnsi="Titillium" w:cs="Titillium"/>
          <w:color w:val="000000"/>
          <w:sz w:val="21"/>
          <w:szCs w:val="21"/>
          <w:highlight w:val="white"/>
        </w:rPr>
        <w:t>Tecnico,  l’offerta</w:t>
      </w:r>
      <w:proofErr w:type="gramEnd"/>
      <w:r>
        <w:rPr>
          <w:rFonts w:ascii="Titillium" w:eastAsia="Titillium" w:hAnsi="Titillium" w:cs="Titillium"/>
          <w:color w:val="000000"/>
          <w:sz w:val="21"/>
          <w:szCs w:val="21"/>
          <w:highlight w:val="white"/>
        </w:rPr>
        <w:t xml:space="preserve"> economica dell'IMPRESA ancorché non materialmente allegati, costituiscono parte integrante e sostanziale del Contratto. La prestazione formante oggetto del presente Contratto non prevede rischi da interferenza.</w:t>
      </w:r>
    </w:p>
    <w:p w14:paraId="7A019553" w14:textId="77777777" w:rsidR="00E551BF" w:rsidRDefault="00E551BF">
      <w:pPr>
        <w:widowControl w:val="0"/>
        <w:pBdr>
          <w:top w:val="nil"/>
          <w:left w:val="nil"/>
          <w:bottom w:val="nil"/>
          <w:right w:val="nil"/>
          <w:between w:val="nil"/>
        </w:pBdr>
        <w:tabs>
          <w:tab w:val="left" w:pos="1134"/>
        </w:tabs>
        <w:ind w:right="-1220" w:hanging="2"/>
        <w:jc w:val="both"/>
        <w:rPr>
          <w:rFonts w:ascii="Titillium" w:eastAsia="Titillium" w:hAnsi="Titillium" w:cs="Titillium"/>
          <w:color w:val="000000"/>
          <w:sz w:val="21"/>
          <w:szCs w:val="21"/>
          <w:highlight w:val="white"/>
        </w:rPr>
      </w:pPr>
    </w:p>
    <w:p w14:paraId="29CA97F3" w14:textId="77777777" w:rsidR="00E551BF" w:rsidRDefault="00AC5484">
      <w:pPr>
        <w:widowControl w:val="0"/>
        <w:pBdr>
          <w:top w:val="nil"/>
          <w:left w:val="nil"/>
          <w:bottom w:val="nil"/>
          <w:right w:val="nil"/>
          <w:between w:val="nil"/>
        </w:pBdr>
        <w:tabs>
          <w:tab w:val="left" w:pos="1134"/>
        </w:tabs>
        <w:ind w:right="-1220" w:hanging="2"/>
        <w:jc w:val="center"/>
        <w:rPr>
          <w:rFonts w:ascii="Titillium" w:eastAsia="Titillium" w:hAnsi="Titillium" w:cs="Titillium"/>
          <w:b/>
          <w:bCs/>
          <w:color w:val="000000"/>
          <w:sz w:val="21"/>
          <w:szCs w:val="21"/>
          <w:highlight w:val="white"/>
          <w:u w:val="single"/>
        </w:rPr>
      </w:pPr>
      <w:r>
        <w:rPr>
          <w:rFonts w:ascii="Titillium" w:eastAsia="Titillium" w:hAnsi="Titillium" w:cs="Titillium"/>
          <w:b/>
          <w:bCs/>
          <w:color w:val="000000"/>
          <w:sz w:val="21"/>
          <w:szCs w:val="21"/>
          <w:highlight w:val="white"/>
        </w:rPr>
        <w:t xml:space="preserve">Art. 2 </w:t>
      </w:r>
      <w:r>
        <w:rPr>
          <w:rFonts w:ascii="Titillium" w:eastAsia="Titillium" w:hAnsi="Titillium" w:cs="Titillium"/>
          <w:b/>
          <w:bCs/>
          <w:color w:val="000000"/>
          <w:sz w:val="21"/>
          <w:szCs w:val="21"/>
          <w:highlight w:val="white"/>
          <w:u w:val="single"/>
        </w:rPr>
        <w:t>Norme regolatrici e disciplina applicabile</w:t>
      </w:r>
    </w:p>
    <w:p w14:paraId="5C34166C" w14:textId="77777777" w:rsidR="00E551BF" w:rsidRDefault="00E551BF">
      <w:pPr>
        <w:widowControl w:val="0"/>
        <w:pBdr>
          <w:top w:val="nil"/>
          <w:left w:val="nil"/>
          <w:bottom w:val="nil"/>
          <w:right w:val="nil"/>
          <w:between w:val="nil"/>
        </w:pBdr>
        <w:tabs>
          <w:tab w:val="left" w:pos="1134"/>
        </w:tabs>
        <w:ind w:right="-1220" w:hanging="2"/>
        <w:jc w:val="center"/>
        <w:rPr>
          <w:rFonts w:ascii="Titillium" w:eastAsia="Titillium" w:hAnsi="Titillium" w:cs="Titillium"/>
          <w:b/>
          <w:bCs/>
          <w:color w:val="000000"/>
          <w:sz w:val="21"/>
          <w:szCs w:val="21"/>
          <w:highlight w:val="white"/>
          <w:u w:val="single"/>
        </w:rPr>
      </w:pPr>
    </w:p>
    <w:p w14:paraId="554D2292" w14:textId="77777777" w:rsidR="00E551BF" w:rsidRDefault="00AC5484">
      <w:pPr>
        <w:keepNext/>
        <w:widowControl w:val="0"/>
        <w:pBdr>
          <w:top w:val="nil"/>
          <w:left w:val="nil"/>
          <w:bottom w:val="nil"/>
          <w:right w:val="nil"/>
          <w:between w:val="nil"/>
        </w:pBdr>
        <w:tabs>
          <w:tab w:val="left" w:pos="0"/>
          <w:tab w:val="left" w:pos="284"/>
          <w:tab w:val="left" w:pos="1134"/>
        </w:tabs>
        <w:ind w:right="-1220" w:hanging="2"/>
        <w:jc w:val="both"/>
        <w:rPr>
          <w:rFonts w:ascii="Titillium" w:eastAsia="Titillium" w:hAnsi="Titillium" w:cs="Titillium"/>
          <w:color w:val="000000"/>
          <w:sz w:val="21"/>
          <w:szCs w:val="21"/>
        </w:rPr>
      </w:pPr>
      <w:r>
        <w:rPr>
          <w:rFonts w:ascii="Titillium" w:eastAsia="Titillium" w:hAnsi="Titillium" w:cs="Titillium"/>
          <w:color w:val="000000"/>
          <w:sz w:val="21"/>
          <w:szCs w:val="21"/>
        </w:rPr>
        <w:t>L’esecuzione del presente contratto è regolata, oltre che da quanto disposto nel</w:t>
      </w:r>
    </w:p>
    <w:p w14:paraId="0B34261D" w14:textId="77777777" w:rsidR="00E551BF" w:rsidRDefault="00AC5484">
      <w:pPr>
        <w:keepNext/>
        <w:widowControl w:val="0"/>
        <w:pBdr>
          <w:top w:val="nil"/>
          <w:left w:val="nil"/>
          <w:bottom w:val="nil"/>
          <w:right w:val="nil"/>
          <w:between w:val="nil"/>
        </w:pBdr>
        <w:tabs>
          <w:tab w:val="left" w:pos="0"/>
          <w:tab w:val="left" w:pos="284"/>
          <w:tab w:val="left" w:pos="1134"/>
        </w:tabs>
        <w:ind w:right="-1220" w:hanging="2"/>
        <w:jc w:val="both"/>
        <w:rPr>
          <w:rFonts w:ascii="Titillium" w:eastAsia="Titillium" w:hAnsi="Titillium" w:cs="Titillium"/>
          <w:color w:val="000000"/>
          <w:sz w:val="21"/>
          <w:szCs w:val="21"/>
        </w:rPr>
      </w:pPr>
      <w:r>
        <w:rPr>
          <w:rFonts w:ascii="Titillium" w:eastAsia="Titillium" w:hAnsi="Titillium" w:cs="Titillium"/>
          <w:color w:val="000000"/>
          <w:sz w:val="21"/>
          <w:szCs w:val="21"/>
        </w:rPr>
        <w:t>medesimo e nei suoi allegati:</w:t>
      </w:r>
    </w:p>
    <w:p w14:paraId="6AA6EFAA" w14:textId="77777777" w:rsidR="00E551BF" w:rsidRDefault="00AC5484">
      <w:pPr>
        <w:keepNext/>
        <w:widowControl w:val="0"/>
        <w:pBdr>
          <w:top w:val="nil"/>
          <w:left w:val="nil"/>
          <w:bottom w:val="nil"/>
          <w:right w:val="nil"/>
          <w:between w:val="nil"/>
        </w:pBdr>
        <w:tabs>
          <w:tab w:val="left" w:pos="0"/>
          <w:tab w:val="left" w:pos="284"/>
          <w:tab w:val="left" w:pos="1134"/>
        </w:tabs>
        <w:ind w:right="-1220" w:hanging="2"/>
        <w:jc w:val="both"/>
        <w:rPr>
          <w:rFonts w:ascii="Titillium" w:eastAsia="Titillium" w:hAnsi="Titillium" w:cs="Titillium"/>
          <w:color w:val="000000"/>
          <w:sz w:val="21"/>
          <w:szCs w:val="21"/>
        </w:rPr>
      </w:pPr>
      <w:r>
        <w:rPr>
          <w:rFonts w:ascii="Titillium" w:eastAsia="Titillium" w:hAnsi="Titillium" w:cs="Titillium"/>
          <w:color w:val="000000"/>
          <w:sz w:val="21"/>
          <w:szCs w:val="21"/>
        </w:rPr>
        <w:t>● dalle clausole riportate nei documenti allegati dall’INAF nella procedura di gara;</w:t>
      </w:r>
    </w:p>
    <w:p w14:paraId="21453164" w14:textId="77777777" w:rsidR="00E551BF" w:rsidRDefault="00AC5484">
      <w:pPr>
        <w:keepNext/>
        <w:widowControl w:val="0"/>
        <w:pBdr>
          <w:top w:val="nil"/>
          <w:left w:val="nil"/>
          <w:bottom w:val="nil"/>
          <w:right w:val="nil"/>
          <w:between w:val="nil"/>
        </w:pBdr>
        <w:tabs>
          <w:tab w:val="left" w:pos="0"/>
          <w:tab w:val="left" w:pos="284"/>
          <w:tab w:val="left" w:pos="1134"/>
        </w:tabs>
        <w:ind w:right="-1220" w:hanging="2"/>
        <w:jc w:val="both"/>
        <w:rPr>
          <w:rFonts w:ascii="Titillium" w:eastAsia="Titillium" w:hAnsi="Titillium" w:cs="Titillium"/>
          <w:color w:val="000000"/>
          <w:sz w:val="21"/>
          <w:szCs w:val="21"/>
        </w:rPr>
      </w:pPr>
      <w:r>
        <w:rPr>
          <w:rFonts w:ascii="Titillium" w:eastAsia="Titillium" w:hAnsi="Titillium" w:cs="Titillium"/>
          <w:color w:val="000000"/>
          <w:sz w:val="21"/>
          <w:szCs w:val="21"/>
        </w:rPr>
        <w:t>● dalle clausole riportate nell’offerta inviata telematicamente (con firma digitale) sul portale denominato U-BUY dalla Società nella suddetta procedura;</w:t>
      </w:r>
    </w:p>
    <w:p w14:paraId="76847AA1" w14:textId="77777777" w:rsidR="00E551BF" w:rsidRDefault="00AC5484">
      <w:pPr>
        <w:keepNext/>
        <w:widowControl w:val="0"/>
        <w:pBdr>
          <w:top w:val="nil"/>
          <w:left w:val="nil"/>
          <w:bottom w:val="nil"/>
          <w:right w:val="nil"/>
          <w:between w:val="nil"/>
        </w:pBdr>
        <w:tabs>
          <w:tab w:val="left" w:pos="0"/>
          <w:tab w:val="left" w:pos="284"/>
          <w:tab w:val="left" w:pos="1134"/>
        </w:tabs>
        <w:ind w:right="-1220" w:hanging="2"/>
        <w:jc w:val="both"/>
        <w:rPr>
          <w:rFonts w:ascii="Titillium" w:eastAsia="Titillium" w:hAnsi="Titillium" w:cs="Titillium"/>
          <w:color w:val="000000"/>
          <w:sz w:val="21"/>
          <w:szCs w:val="21"/>
        </w:rPr>
      </w:pPr>
      <w:r>
        <w:rPr>
          <w:rFonts w:ascii="Titillium" w:eastAsia="Titillium" w:hAnsi="Titillium" w:cs="Titillium"/>
          <w:color w:val="000000"/>
          <w:sz w:val="21"/>
          <w:szCs w:val="21"/>
        </w:rPr>
        <w:t>● dalle clausole riportate nel presente atto, che costituiscono manifestazione integrale degli accordi intervenuti tra l’INAF e la Società;</w:t>
      </w:r>
    </w:p>
    <w:p w14:paraId="53616042" w14:textId="77777777" w:rsidR="00E551BF" w:rsidRDefault="00AC5484">
      <w:pPr>
        <w:keepNext/>
        <w:widowControl w:val="0"/>
        <w:pBdr>
          <w:top w:val="nil"/>
          <w:left w:val="nil"/>
          <w:bottom w:val="nil"/>
          <w:right w:val="nil"/>
          <w:between w:val="nil"/>
        </w:pBdr>
        <w:tabs>
          <w:tab w:val="left" w:pos="0"/>
          <w:tab w:val="left" w:pos="284"/>
          <w:tab w:val="left" w:pos="1134"/>
        </w:tabs>
        <w:ind w:right="-1220" w:hanging="2"/>
        <w:jc w:val="both"/>
        <w:rPr>
          <w:rFonts w:ascii="Titillium" w:eastAsia="Titillium" w:hAnsi="Titillium" w:cs="Titillium"/>
          <w:color w:val="000000"/>
          <w:sz w:val="21"/>
          <w:szCs w:val="21"/>
        </w:rPr>
      </w:pPr>
      <w:r>
        <w:rPr>
          <w:rFonts w:ascii="Titillium" w:eastAsia="Titillium" w:hAnsi="Titillium" w:cs="Titillium"/>
          <w:color w:val="000000"/>
          <w:sz w:val="21"/>
          <w:szCs w:val="21"/>
        </w:rPr>
        <w:t>● dal Decreto Legislativo 31 marzo 2023, numero 36;</w:t>
      </w:r>
    </w:p>
    <w:p w14:paraId="59B6A1DC" w14:textId="77777777" w:rsidR="00E551BF" w:rsidRDefault="00AC5484">
      <w:pPr>
        <w:keepNext/>
        <w:widowControl w:val="0"/>
        <w:pBdr>
          <w:top w:val="nil"/>
          <w:left w:val="nil"/>
          <w:bottom w:val="nil"/>
          <w:right w:val="nil"/>
          <w:between w:val="nil"/>
        </w:pBdr>
        <w:tabs>
          <w:tab w:val="left" w:pos="0"/>
          <w:tab w:val="left" w:pos="284"/>
          <w:tab w:val="left" w:pos="1134"/>
        </w:tabs>
        <w:ind w:right="-1220" w:hanging="2"/>
        <w:jc w:val="both"/>
        <w:rPr>
          <w:rFonts w:ascii="Titillium" w:eastAsia="Titillium" w:hAnsi="Titillium" w:cs="Titillium"/>
          <w:color w:val="000000"/>
          <w:sz w:val="21"/>
          <w:szCs w:val="21"/>
        </w:rPr>
      </w:pPr>
      <w:r>
        <w:rPr>
          <w:rFonts w:ascii="Titillium" w:eastAsia="Titillium" w:hAnsi="Titillium" w:cs="Titillium"/>
          <w:color w:val="000000"/>
          <w:sz w:val="21"/>
          <w:szCs w:val="21"/>
        </w:rPr>
        <w:t>● dai provvedimenti attuativi previsti dal Decreto Legislativo 36/2023, adottati dalla Autorità Nazionale Anticorruzione;</w:t>
      </w:r>
    </w:p>
    <w:p w14:paraId="4E6C659D" w14:textId="77777777" w:rsidR="00E551BF" w:rsidRDefault="00AC5484">
      <w:pPr>
        <w:keepNext/>
        <w:widowControl w:val="0"/>
        <w:pBdr>
          <w:top w:val="nil"/>
          <w:left w:val="nil"/>
          <w:bottom w:val="nil"/>
          <w:right w:val="nil"/>
          <w:between w:val="nil"/>
        </w:pBdr>
        <w:tabs>
          <w:tab w:val="left" w:pos="0"/>
          <w:tab w:val="left" w:pos="284"/>
          <w:tab w:val="left" w:pos="1134"/>
        </w:tabs>
        <w:ind w:right="-1220" w:hanging="2"/>
        <w:jc w:val="both"/>
        <w:rPr>
          <w:rFonts w:ascii="Titillium" w:eastAsia="Titillium" w:hAnsi="Titillium" w:cs="Titillium"/>
          <w:color w:val="000000"/>
          <w:sz w:val="21"/>
          <w:szCs w:val="21"/>
        </w:rPr>
      </w:pPr>
      <w:r>
        <w:rPr>
          <w:rFonts w:ascii="Titillium" w:eastAsia="Titillium" w:hAnsi="Titillium" w:cs="Titillium"/>
          <w:color w:val="000000"/>
          <w:sz w:val="21"/>
          <w:szCs w:val="21"/>
        </w:rPr>
        <w:t>● dal Regolamento (UE) n. 2016/679 (di seguito “GDPR”) e dal Decreto Legislativo 30 giugno 2003, numero 196, come modificato dal Decreto Legislativo 10 agosto 2018, numero 101;</w:t>
      </w:r>
    </w:p>
    <w:p w14:paraId="2F831912" w14:textId="77777777" w:rsidR="00E551BF" w:rsidRDefault="00AC5484">
      <w:pPr>
        <w:keepNext/>
        <w:widowControl w:val="0"/>
        <w:pBdr>
          <w:top w:val="nil"/>
          <w:left w:val="nil"/>
          <w:bottom w:val="nil"/>
          <w:right w:val="nil"/>
          <w:between w:val="nil"/>
        </w:pBdr>
        <w:tabs>
          <w:tab w:val="left" w:pos="0"/>
          <w:tab w:val="left" w:pos="284"/>
          <w:tab w:val="left" w:pos="1134"/>
        </w:tabs>
        <w:ind w:right="-1220" w:hanging="2"/>
        <w:jc w:val="both"/>
        <w:rPr>
          <w:rFonts w:ascii="Titillium" w:eastAsia="Titillium" w:hAnsi="Titillium" w:cs="Titillium"/>
          <w:color w:val="000000"/>
          <w:sz w:val="21"/>
          <w:szCs w:val="21"/>
        </w:rPr>
      </w:pPr>
      <w:r>
        <w:rPr>
          <w:rFonts w:ascii="Titillium" w:eastAsia="Titillium" w:hAnsi="Titillium" w:cs="Titillium"/>
          <w:color w:val="000000"/>
          <w:sz w:val="21"/>
          <w:szCs w:val="21"/>
        </w:rPr>
        <w:t xml:space="preserve">● dal Decreto Legislativo 9 aprile 2008, numero 81 e </w:t>
      </w:r>
      <w:proofErr w:type="spellStart"/>
      <w:r>
        <w:rPr>
          <w:rFonts w:ascii="Titillium" w:eastAsia="Titillium" w:hAnsi="Titillium" w:cs="Titillium"/>
          <w:color w:val="000000"/>
          <w:sz w:val="21"/>
          <w:szCs w:val="21"/>
        </w:rPr>
        <w:t>s.m.i.</w:t>
      </w:r>
      <w:proofErr w:type="spellEnd"/>
      <w:r>
        <w:rPr>
          <w:rFonts w:ascii="Titillium" w:eastAsia="Titillium" w:hAnsi="Titillium" w:cs="Titillium"/>
          <w:color w:val="000000"/>
          <w:sz w:val="21"/>
          <w:szCs w:val="21"/>
        </w:rPr>
        <w:t>;</w:t>
      </w:r>
    </w:p>
    <w:p w14:paraId="536583A1" w14:textId="77777777" w:rsidR="00E551BF" w:rsidRDefault="00AC5484">
      <w:pPr>
        <w:keepNext/>
        <w:widowControl w:val="0"/>
        <w:pBdr>
          <w:top w:val="nil"/>
          <w:left w:val="nil"/>
          <w:bottom w:val="nil"/>
          <w:right w:val="nil"/>
          <w:between w:val="nil"/>
        </w:pBdr>
        <w:tabs>
          <w:tab w:val="left" w:pos="0"/>
          <w:tab w:val="left" w:pos="284"/>
          <w:tab w:val="left" w:pos="1134"/>
        </w:tabs>
        <w:ind w:right="-1220" w:hanging="2"/>
        <w:jc w:val="both"/>
        <w:rPr>
          <w:rFonts w:ascii="Titillium" w:eastAsia="Titillium" w:hAnsi="Titillium" w:cs="Titillium"/>
          <w:color w:val="000000"/>
          <w:sz w:val="21"/>
          <w:szCs w:val="21"/>
        </w:rPr>
      </w:pPr>
      <w:r>
        <w:rPr>
          <w:rFonts w:ascii="Titillium" w:eastAsia="Titillium" w:hAnsi="Titillium" w:cs="Titillium"/>
          <w:color w:val="000000"/>
          <w:sz w:val="21"/>
          <w:szCs w:val="21"/>
        </w:rPr>
        <w:t>● dalla Legge 13 agosto 2010, numero 136;</w:t>
      </w:r>
    </w:p>
    <w:p w14:paraId="7877AB40" w14:textId="77777777" w:rsidR="00E551BF" w:rsidRDefault="00AC5484">
      <w:pPr>
        <w:keepNext/>
        <w:widowControl w:val="0"/>
        <w:pBdr>
          <w:top w:val="nil"/>
          <w:left w:val="nil"/>
          <w:bottom w:val="nil"/>
          <w:right w:val="nil"/>
          <w:between w:val="nil"/>
        </w:pBdr>
        <w:tabs>
          <w:tab w:val="left" w:pos="0"/>
          <w:tab w:val="left" w:pos="284"/>
          <w:tab w:val="left" w:pos="1134"/>
        </w:tabs>
        <w:ind w:right="-1220" w:hanging="2"/>
        <w:jc w:val="both"/>
        <w:rPr>
          <w:rFonts w:ascii="Titillium" w:eastAsia="Titillium" w:hAnsi="Titillium" w:cs="Titillium"/>
          <w:color w:val="000000"/>
          <w:sz w:val="21"/>
          <w:szCs w:val="21"/>
        </w:rPr>
      </w:pPr>
      <w:r>
        <w:rPr>
          <w:rFonts w:ascii="Titillium" w:eastAsia="Titillium" w:hAnsi="Titillium" w:cs="Titillium"/>
          <w:color w:val="000000"/>
          <w:sz w:val="21"/>
          <w:szCs w:val="21"/>
        </w:rPr>
        <w:t xml:space="preserve">● dal </w:t>
      </w:r>
      <w:proofErr w:type="gramStart"/>
      <w:r>
        <w:rPr>
          <w:rFonts w:ascii="Titillium" w:eastAsia="Titillium" w:hAnsi="Titillium" w:cs="Titillium"/>
          <w:color w:val="000000"/>
          <w:sz w:val="21"/>
          <w:szCs w:val="21"/>
        </w:rPr>
        <w:t>Codice Civile</w:t>
      </w:r>
      <w:proofErr w:type="gramEnd"/>
      <w:r>
        <w:rPr>
          <w:rFonts w:ascii="Titillium" w:eastAsia="Titillium" w:hAnsi="Titillium" w:cs="Titillium"/>
          <w:color w:val="000000"/>
          <w:sz w:val="21"/>
          <w:szCs w:val="21"/>
        </w:rPr>
        <w:t xml:space="preserve"> e dalle altre disposizioni normative in vigore in materia di contratti di diritto privato, per quanto non regolato dalle disposizioni dei precedenti punti;</w:t>
      </w:r>
    </w:p>
    <w:p w14:paraId="21F1A871" w14:textId="77777777" w:rsidR="00E551BF" w:rsidRDefault="00AC5484">
      <w:pPr>
        <w:keepNext/>
        <w:widowControl w:val="0"/>
        <w:pBdr>
          <w:top w:val="nil"/>
          <w:left w:val="nil"/>
          <w:bottom w:val="nil"/>
          <w:right w:val="nil"/>
          <w:between w:val="nil"/>
        </w:pBdr>
        <w:tabs>
          <w:tab w:val="left" w:pos="0"/>
          <w:tab w:val="left" w:pos="284"/>
          <w:tab w:val="left" w:pos="1134"/>
        </w:tabs>
        <w:ind w:right="-1220" w:hanging="2"/>
        <w:jc w:val="both"/>
        <w:rPr>
          <w:rFonts w:ascii="Titillium" w:eastAsia="Titillium" w:hAnsi="Titillium" w:cs="Titillium"/>
          <w:color w:val="000000"/>
          <w:sz w:val="21"/>
          <w:szCs w:val="21"/>
        </w:rPr>
      </w:pPr>
      <w:r>
        <w:rPr>
          <w:rFonts w:ascii="Titillium" w:eastAsia="Titillium" w:hAnsi="Titillium" w:cs="Titillium"/>
          <w:color w:val="000000"/>
          <w:sz w:val="21"/>
          <w:szCs w:val="21"/>
        </w:rPr>
        <w:t>● dal Codice di comportamento dell’INAF e dal Piano integrato di attività e organizzazione 2023 - 2025 adottato ai sensi della legge n. 190/2012.</w:t>
      </w:r>
    </w:p>
    <w:p w14:paraId="4ED7C9FF" w14:textId="77777777" w:rsidR="00E551BF" w:rsidRDefault="00AC5484">
      <w:pPr>
        <w:keepNext/>
        <w:widowControl w:val="0"/>
        <w:pBdr>
          <w:top w:val="nil"/>
          <w:left w:val="nil"/>
          <w:bottom w:val="nil"/>
          <w:right w:val="nil"/>
          <w:between w:val="nil"/>
        </w:pBdr>
        <w:tabs>
          <w:tab w:val="left" w:pos="0"/>
          <w:tab w:val="left" w:pos="284"/>
          <w:tab w:val="left" w:pos="1134"/>
        </w:tabs>
        <w:ind w:right="-1220" w:hanging="2"/>
        <w:jc w:val="both"/>
        <w:rPr>
          <w:rFonts w:ascii="Titillium" w:eastAsia="Titillium" w:hAnsi="Titillium" w:cs="Titillium"/>
          <w:color w:val="000000"/>
          <w:sz w:val="21"/>
          <w:szCs w:val="21"/>
        </w:rPr>
      </w:pPr>
      <w:r>
        <w:rPr>
          <w:rFonts w:ascii="Titillium" w:eastAsia="Titillium" w:hAnsi="Titillium" w:cs="Titillium"/>
          <w:color w:val="000000"/>
          <w:sz w:val="21"/>
          <w:szCs w:val="21"/>
        </w:rPr>
        <w:t>4. Le clausole del contratto sono sostituite, modificate od abrogate automaticamente per effetto di norme aventi carattere cogente contenute in leggi o regolamenti che entreranno in vigore successivamente, fermo restando che in ogni caso, anche ove intervengano modificazioni autoritative dei prezzi migliorative per l’INAF, il Contraente rinuncia a promuovere azione o ad opporre eccezioni rivolte a sospendere o a risolvere il rapporto contrattuale in essere.</w:t>
      </w:r>
    </w:p>
    <w:p w14:paraId="476D1866" w14:textId="77777777" w:rsidR="00E551BF" w:rsidRDefault="00AC5484">
      <w:pPr>
        <w:keepNext/>
        <w:widowControl w:val="0"/>
        <w:pBdr>
          <w:top w:val="nil"/>
          <w:left w:val="nil"/>
          <w:bottom w:val="nil"/>
          <w:right w:val="nil"/>
          <w:between w:val="nil"/>
        </w:pBdr>
        <w:tabs>
          <w:tab w:val="left" w:pos="0"/>
          <w:tab w:val="left" w:pos="284"/>
          <w:tab w:val="left" w:pos="1134"/>
        </w:tabs>
        <w:ind w:right="-1220" w:hanging="2"/>
        <w:jc w:val="both"/>
        <w:rPr>
          <w:rFonts w:ascii="Titillium" w:eastAsia="Titillium" w:hAnsi="Titillium" w:cs="Titillium"/>
          <w:color w:val="000000"/>
          <w:sz w:val="21"/>
          <w:szCs w:val="21"/>
        </w:rPr>
      </w:pPr>
      <w:r>
        <w:rPr>
          <w:rFonts w:ascii="Titillium" w:eastAsia="Titillium" w:hAnsi="Titillium" w:cs="Titillium"/>
          <w:color w:val="000000"/>
          <w:sz w:val="21"/>
          <w:szCs w:val="21"/>
        </w:rPr>
        <w:t xml:space="preserve">5. In caso di contrasto e/o incompatibilità tra le disposizioni contenute nel Contratto e quelle </w:t>
      </w:r>
      <w:r>
        <w:rPr>
          <w:rFonts w:ascii="Titillium" w:eastAsia="Titillium" w:hAnsi="Titillium" w:cs="Titillium"/>
          <w:color w:val="000000"/>
          <w:sz w:val="21"/>
          <w:szCs w:val="21"/>
        </w:rPr>
        <w:lastRenderedPageBreak/>
        <w:t>contenute nei Documenti Contrattuali valgono le disposizioni del Contratto.</w:t>
      </w:r>
    </w:p>
    <w:p w14:paraId="3F4DD5F3" w14:textId="77777777" w:rsidR="00E551BF" w:rsidRDefault="00E551BF">
      <w:pPr>
        <w:keepNext/>
        <w:widowControl w:val="0"/>
        <w:pBdr>
          <w:top w:val="nil"/>
          <w:left w:val="nil"/>
          <w:bottom w:val="nil"/>
          <w:right w:val="nil"/>
          <w:between w:val="nil"/>
        </w:pBdr>
        <w:tabs>
          <w:tab w:val="left" w:pos="0"/>
          <w:tab w:val="left" w:pos="284"/>
          <w:tab w:val="left" w:pos="1134"/>
        </w:tabs>
        <w:ind w:right="-1220" w:hanging="2"/>
        <w:jc w:val="both"/>
        <w:rPr>
          <w:rFonts w:ascii="Titillium" w:eastAsia="Titillium" w:hAnsi="Titillium" w:cs="Titillium"/>
          <w:color w:val="000000"/>
          <w:sz w:val="21"/>
          <w:szCs w:val="21"/>
        </w:rPr>
      </w:pPr>
    </w:p>
    <w:p w14:paraId="28159D67" w14:textId="77777777" w:rsidR="00E551BF" w:rsidRDefault="00AC5484">
      <w:pPr>
        <w:keepNext/>
        <w:widowControl w:val="0"/>
        <w:pBdr>
          <w:top w:val="nil"/>
          <w:left w:val="nil"/>
          <w:bottom w:val="nil"/>
          <w:right w:val="nil"/>
          <w:between w:val="nil"/>
        </w:pBdr>
        <w:tabs>
          <w:tab w:val="left" w:pos="0"/>
          <w:tab w:val="left" w:pos="284"/>
          <w:tab w:val="left" w:pos="1134"/>
        </w:tabs>
        <w:ind w:right="-1220" w:hanging="2"/>
        <w:jc w:val="center"/>
        <w:rPr>
          <w:rFonts w:ascii="Titillium" w:eastAsia="Titillium" w:hAnsi="Titillium" w:cs="Titillium"/>
          <w:b/>
          <w:bCs/>
          <w:color w:val="000000"/>
          <w:sz w:val="21"/>
          <w:szCs w:val="21"/>
          <w:highlight w:val="white"/>
          <w:u w:val="single"/>
        </w:rPr>
      </w:pPr>
      <w:r>
        <w:rPr>
          <w:rFonts w:ascii="Titillium" w:eastAsia="Titillium" w:hAnsi="Titillium" w:cs="Titillium"/>
          <w:b/>
          <w:bCs/>
          <w:color w:val="000000"/>
          <w:sz w:val="21"/>
          <w:szCs w:val="21"/>
          <w:highlight w:val="white"/>
        </w:rPr>
        <w:t xml:space="preserve">Art.  3 </w:t>
      </w:r>
      <w:r>
        <w:rPr>
          <w:rFonts w:ascii="Titillium" w:eastAsia="Titillium" w:hAnsi="Titillium" w:cs="Titillium"/>
          <w:b/>
          <w:bCs/>
          <w:color w:val="000000"/>
          <w:sz w:val="21"/>
          <w:szCs w:val="21"/>
          <w:highlight w:val="white"/>
          <w:u w:val="single"/>
        </w:rPr>
        <w:t>Oggetto del Contratto</w:t>
      </w:r>
    </w:p>
    <w:p w14:paraId="60442EE4" w14:textId="77777777" w:rsidR="00E551BF" w:rsidRDefault="00E551BF">
      <w:pPr>
        <w:keepNext/>
        <w:widowControl w:val="0"/>
        <w:pBdr>
          <w:top w:val="nil"/>
          <w:left w:val="nil"/>
          <w:bottom w:val="nil"/>
          <w:right w:val="nil"/>
          <w:between w:val="nil"/>
        </w:pBdr>
        <w:tabs>
          <w:tab w:val="left" w:pos="0"/>
          <w:tab w:val="left" w:pos="284"/>
          <w:tab w:val="left" w:pos="1134"/>
        </w:tabs>
        <w:ind w:right="-1220" w:hanging="2"/>
        <w:jc w:val="center"/>
        <w:rPr>
          <w:rFonts w:ascii="Titillium" w:eastAsia="Titillium" w:hAnsi="Titillium" w:cs="Titillium"/>
          <w:b/>
          <w:bCs/>
          <w:color w:val="000000"/>
          <w:sz w:val="21"/>
          <w:szCs w:val="21"/>
          <w:highlight w:val="white"/>
        </w:rPr>
      </w:pPr>
    </w:p>
    <w:p w14:paraId="32C7BCB1" w14:textId="77777777" w:rsidR="00E551BF" w:rsidRDefault="00AC5484">
      <w:pPr>
        <w:keepNext/>
        <w:widowControl w:val="0"/>
        <w:pBdr>
          <w:top w:val="nil"/>
          <w:left w:val="nil"/>
          <w:bottom w:val="nil"/>
          <w:right w:val="nil"/>
          <w:between w:val="nil"/>
        </w:pBdr>
        <w:ind w:right="-1220" w:firstLine="0"/>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Oggetto del presente Contratto è la fornitura </w:t>
      </w:r>
      <w:proofErr w:type="gramStart"/>
      <w:r>
        <w:rPr>
          <w:rFonts w:ascii="Titillium" w:eastAsia="Titillium" w:hAnsi="Titillium" w:cs="Titillium"/>
          <w:sz w:val="21"/>
          <w:szCs w:val="21"/>
          <w:highlight w:val="white"/>
        </w:rPr>
        <w:t xml:space="preserve">di </w:t>
      </w:r>
      <w:r>
        <w:rPr>
          <w:rFonts w:ascii="Titillium" w:eastAsia="Titillium" w:hAnsi="Titillium" w:cs="Titillium"/>
          <w:b/>
          <w:bCs/>
          <w:sz w:val="21"/>
          <w:szCs w:val="21"/>
          <w:highlight w:val="white"/>
        </w:rPr>
        <w:t xml:space="preserve"> “</w:t>
      </w:r>
      <w:r>
        <w:rPr>
          <w:rFonts w:ascii="Titillium" w:eastAsia="Titillium" w:hAnsi="Titillium" w:cs="Titillium"/>
          <w:sz w:val="21"/>
          <w:szCs w:val="21"/>
        </w:rPr>
        <w:t>PROGETTAZIONE ,</w:t>
      </w:r>
      <w:proofErr w:type="gramEnd"/>
      <w:r>
        <w:rPr>
          <w:rFonts w:ascii="Titillium" w:eastAsia="Titillium" w:hAnsi="Titillium" w:cs="Titillium"/>
          <w:sz w:val="21"/>
          <w:szCs w:val="21"/>
        </w:rPr>
        <w:t xml:space="preserve"> REALIZZAZIONE E FORNITURA DI ‘SCHEDE DI ELETTRONICA” PER PROTOTIPO DI STRUMENTO PER LA MISURA DEL CAMPO ELETTRICO E DEL PLASMA SPAZIALE”</w:t>
      </w:r>
      <w:r>
        <w:rPr>
          <w:rFonts w:ascii="Titillium" w:eastAsia="Titillium" w:hAnsi="Titillium" w:cs="Titillium"/>
          <w:sz w:val="21"/>
          <w:szCs w:val="21"/>
          <w:highlight w:val="white"/>
        </w:rPr>
        <w:t xml:space="preserve"> </w:t>
      </w:r>
      <w:r>
        <w:rPr>
          <w:rFonts w:ascii="Titillium" w:eastAsia="Titillium" w:hAnsi="Titillium" w:cs="Titillium"/>
          <w:color w:val="000000"/>
          <w:sz w:val="21"/>
          <w:szCs w:val="21"/>
          <w:highlight w:val="white"/>
        </w:rPr>
        <w:t xml:space="preserve">in favore dello </w:t>
      </w:r>
      <w:r>
        <w:rPr>
          <w:rFonts w:ascii="Titillium" w:eastAsia="Titillium" w:hAnsi="Titillium" w:cs="Titillium"/>
          <w:b/>
          <w:bCs/>
          <w:color w:val="000000"/>
          <w:sz w:val="21"/>
          <w:szCs w:val="21"/>
          <w:highlight w:val="white"/>
        </w:rPr>
        <w:t>Istituto di Astrofisica e Planetologia Spaziali - INAF</w:t>
      </w:r>
      <w:r>
        <w:rPr>
          <w:rFonts w:ascii="Titillium" w:eastAsia="Titillium" w:hAnsi="Titillium" w:cs="Titillium"/>
          <w:color w:val="000000"/>
          <w:sz w:val="21"/>
          <w:szCs w:val="21"/>
          <w:highlight w:val="white"/>
        </w:rPr>
        <w:t>. La composizione dettagliata è esclusivamente quella elencata nel Capitolato Tecnico.</w:t>
      </w:r>
    </w:p>
    <w:p w14:paraId="339EA04D" w14:textId="77777777" w:rsidR="00E551BF" w:rsidRDefault="00E551BF">
      <w:pPr>
        <w:keepNext/>
        <w:widowControl w:val="0"/>
        <w:pBdr>
          <w:top w:val="nil"/>
          <w:left w:val="nil"/>
          <w:bottom w:val="nil"/>
          <w:right w:val="nil"/>
          <w:between w:val="nil"/>
        </w:pBdr>
        <w:tabs>
          <w:tab w:val="left" w:pos="0"/>
          <w:tab w:val="left" w:pos="284"/>
          <w:tab w:val="left" w:pos="1134"/>
        </w:tabs>
        <w:ind w:right="-1220" w:hanging="2"/>
        <w:jc w:val="both"/>
        <w:rPr>
          <w:rFonts w:ascii="Titillium" w:eastAsia="Titillium" w:hAnsi="Titillium" w:cs="Titillium"/>
          <w:sz w:val="21"/>
          <w:szCs w:val="21"/>
          <w:highlight w:val="white"/>
        </w:rPr>
      </w:pPr>
    </w:p>
    <w:p w14:paraId="6778872E" w14:textId="77777777" w:rsidR="00E551BF" w:rsidRDefault="00AC5484">
      <w:pPr>
        <w:keepNext/>
        <w:widowControl w:val="0"/>
        <w:pBdr>
          <w:top w:val="nil"/>
          <w:left w:val="nil"/>
          <w:bottom w:val="nil"/>
          <w:right w:val="nil"/>
          <w:between w:val="nil"/>
        </w:pBdr>
        <w:tabs>
          <w:tab w:val="left" w:pos="142"/>
          <w:tab w:val="left" w:pos="284"/>
        </w:tabs>
        <w:ind w:right="-1220" w:hanging="2"/>
        <w:jc w:val="center"/>
        <w:rPr>
          <w:rFonts w:ascii="Titillium" w:eastAsia="Titillium" w:hAnsi="Titillium" w:cs="Titillium"/>
          <w:color w:val="000000"/>
          <w:sz w:val="21"/>
          <w:szCs w:val="21"/>
          <w:highlight w:val="white"/>
        </w:rPr>
      </w:pPr>
      <w:r>
        <w:rPr>
          <w:rFonts w:ascii="Titillium" w:eastAsia="Titillium" w:hAnsi="Titillium" w:cs="Titillium"/>
          <w:b/>
          <w:bCs/>
          <w:color w:val="000000"/>
          <w:sz w:val="21"/>
          <w:szCs w:val="21"/>
          <w:highlight w:val="white"/>
        </w:rPr>
        <w:t xml:space="preserve">Art.  4 </w:t>
      </w:r>
      <w:r>
        <w:rPr>
          <w:rFonts w:ascii="Titillium" w:eastAsia="Titillium" w:hAnsi="Titillium" w:cs="Titillium"/>
          <w:b/>
          <w:bCs/>
          <w:color w:val="000000"/>
          <w:sz w:val="21"/>
          <w:szCs w:val="21"/>
          <w:highlight w:val="white"/>
          <w:u w:val="single"/>
        </w:rPr>
        <w:t xml:space="preserve">Termini di consegna </w:t>
      </w:r>
    </w:p>
    <w:p w14:paraId="15E6EE6B" w14:textId="77777777" w:rsidR="00E551BF" w:rsidRDefault="00AC5484">
      <w:pPr>
        <w:keepNext/>
        <w:widowControl w:val="0"/>
        <w:pBdr>
          <w:top w:val="nil"/>
          <w:left w:val="nil"/>
          <w:bottom w:val="nil"/>
          <w:right w:val="nil"/>
          <w:between w:val="nil"/>
        </w:pBdr>
        <w:tabs>
          <w:tab w:val="left" w:pos="142"/>
          <w:tab w:val="left" w:pos="284"/>
        </w:tabs>
        <w:ind w:right="-1220" w:hanging="2"/>
        <w:jc w:val="both"/>
        <w:rPr>
          <w:rFonts w:ascii="Titillium" w:eastAsia="Titillium" w:hAnsi="Titillium" w:cs="Titillium"/>
          <w:sz w:val="21"/>
          <w:szCs w:val="21"/>
          <w:highlight w:val="white"/>
        </w:rPr>
      </w:pPr>
      <w:r>
        <w:rPr>
          <w:rFonts w:ascii="Titillium" w:eastAsia="Titillium" w:hAnsi="Titillium" w:cs="Titillium"/>
          <w:color w:val="000000"/>
          <w:sz w:val="21"/>
          <w:szCs w:val="21"/>
          <w:highlight w:val="white"/>
        </w:rPr>
        <w:t xml:space="preserve">Le prestazioni, indicate al precedente articolo, dovranno essere consegnate secondo i tempi e le modalità indicate nel Disciplinare </w:t>
      </w:r>
      <w:proofErr w:type="gramStart"/>
      <w:r>
        <w:rPr>
          <w:rFonts w:ascii="Titillium" w:eastAsia="Titillium" w:hAnsi="Titillium" w:cs="Titillium"/>
          <w:color w:val="000000"/>
          <w:sz w:val="21"/>
          <w:szCs w:val="21"/>
          <w:highlight w:val="white"/>
        </w:rPr>
        <w:t>all’affidamento  di</w:t>
      </w:r>
      <w:proofErr w:type="gramEnd"/>
      <w:r>
        <w:rPr>
          <w:rFonts w:ascii="Titillium" w:eastAsia="Titillium" w:hAnsi="Titillium" w:cs="Titillium"/>
          <w:color w:val="000000"/>
          <w:sz w:val="21"/>
          <w:szCs w:val="21"/>
          <w:highlight w:val="white"/>
        </w:rPr>
        <w:t xml:space="preserve"> cui alle premesse e dal presente contratto, entro </w:t>
      </w:r>
      <w:proofErr w:type="gramStart"/>
      <w:r>
        <w:rPr>
          <w:rFonts w:ascii="Titillium" w:eastAsia="Titillium" w:hAnsi="Titillium" w:cs="Titillium"/>
          <w:b/>
          <w:bCs/>
          <w:sz w:val="21"/>
          <w:szCs w:val="21"/>
          <w:highlight w:val="white"/>
        </w:rPr>
        <w:t>7</w:t>
      </w:r>
      <w:proofErr w:type="gramEnd"/>
      <w:r>
        <w:rPr>
          <w:rFonts w:ascii="Titillium" w:eastAsia="Titillium" w:hAnsi="Titillium" w:cs="Titillium"/>
          <w:b/>
          <w:bCs/>
          <w:sz w:val="21"/>
          <w:szCs w:val="21"/>
          <w:highlight w:val="white"/>
        </w:rPr>
        <w:t xml:space="preserve"> </w:t>
      </w:r>
      <w:proofErr w:type="gramStart"/>
      <w:r>
        <w:rPr>
          <w:rFonts w:ascii="Titillium" w:eastAsia="Titillium" w:hAnsi="Titillium" w:cs="Titillium"/>
          <w:b/>
          <w:bCs/>
          <w:sz w:val="21"/>
          <w:szCs w:val="21"/>
          <w:highlight w:val="white"/>
        </w:rPr>
        <w:t xml:space="preserve">mesi </w:t>
      </w:r>
      <w:r>
        <w:rPr>
          <w:rFonts w:ascii="Titillium" w:eastAsia="Titillium" w:hAnsi="Titillium" w:cs="Titillium"/>
          <w:sz w:val="21"/>
          <w:szCs w:val="21"/>
          <w:highlight w:val="white"/>
        </w:rPr>
        <w:t xml:space="preserve"> dalla</w:t>
      </w:r>
      <w:proofErr w:type="gramEnd"/>
      <w:r>
        <w:rPr>
          <w:rFonts w:ascii="Titillium" w:eastAsia="Titillium" w:hAnsi="Titillium" w:cs="Titillium"/>
          <w:sz w:val="21"/>
          <w:szCs w:val="21"/>
          <w:highlight w:val="white"/>
        </w:rPr>
        <w:t xml:space="preserve"> data di ricezione dell'ordine.</w:t>
      </w:r>
    </w:p>
    <w:p w14:paraId="57553844" w14:textId="77777777" w:rsidR="00E551BF" w:rsidRDefault="00E551BF">
      <w:pPr>
        <w:keepNext/>
        <w:widowControl w:val="0"/>
        <w:pBdr>
          <w:top w:val="nil"/>
          <w:left w:val="nil"/>
          <w:bottom w:val="nil"/>
          <w:right w:val="nil"/>
          <w:between w:val="nil"/>
        </w:pBdr>
        <w:tabs>
          <w:tab w:val="left" w:pos="142"/>
          <w:tab w:val="left" w:pos="284"/>
        </w:tabs>
        <w:ind w:right="-1220" w:hanging="2"/>
        <w:jc w:val="both"/>
        <w:rPr>
          <w:rFonts w:ascii="Titillium" w:eastAsia="Titillium" w:hAnsi="Titillium" w:cs="Titillium"/>
          <w:color w:val="000000"/>
          <w:sz w:val="21"/>
          <w:szCs w:val="21"/>
          <w:highlight w:val="white"/>
        </w:rPr>
      </w:pPr>
    </w:p>
    <w:p w14:paraId="7B5C67C9" w14:textId="77777777" w:rsidR="00E551BF" w:rsidRDefault="00AC5484">
      <w:pPr>
        <w:keepNext/>
        <w:widowControl w:val="0"/>
        <w:pBdr>
          <w:top w:val="nil"/>
          <w:left w:val="nil"/>
          <w:bottom w:val="nil"/>
          <w:right w:val="nil"/>
          <w:between w:val="nil"/>
        </w:pBdr>
        <w:tabs>
          <w:tab w:val="left" w:pos="142"/>
          <w:tab w:val="left" w:pos="284"/>
        </w:tabs>
        <w:ind w:right="-1220" w:hanging="2"/>
        <w:jc w:val="center"/>
        <w:rPr>
          <w:rFonts w:ascii="Titillium" w:eastAsia="Titillium" w:hAnsi="Titillium" w:cs="Titillium"/>
          <w:color w:val="000000"/>
          <w:sz w:val="21"/>
          <w:szCs w:val="21"/>
          <w:highlight w:val="white"/>
        </w:rPr>
      </w:pPr>
      <w:r>
        <w:rPr>
          <w:rFonts w:ascii="Titillium" w:eastAsia="Titillium" w:hAnsi="Titillium" w:cs="Titillium"/>
          <w:b/>
          <w:bCs/>
          <w:color w:val="000000"/>
          <w:sz w:val="21"/>
          <w:szCs w:val="21"/>
          <w:highlight w:val="white"/>
        </w:rPr>
        <w:t xml:space="preserve">Art.  5 </w:t>
      </w:r>
      <w:r>
        <w:rPr>
          <w:rFonts w:ascii="Titillium" w:eastAsia="Titillium" w:hAnsi="Titillium" w:cs="Titillium"/>
          <w:b/>
          <w:bCs/>
          <w:color w:val="000000"/>
          <w:sz w:val="21"/>
          <w:szCs w:val="21"/>
          <w:highlight w:val="white"/>
          <w:u w:val="single"/>
        </w:rPr>
        <w:t>Corrispettivo</w:t>
      </w:r>
    </w:p>
    <w:p w14:paraId="2306771E" w14:textId="77777777" w:rsidR="00E551BF" w:rsidRDefault="00AC5484">
      <w:pPr>
        <w:keepNext/>
        <w:widowControl w:val="0"/>
        <w:pBdr>
          <w:top w:val="nil"/>
          <w:left w:val="nil"/>
          <w:bottom w:val="nil"/>
          <w:right w:val="nil"/>
          <w:between w:val="nil"/>
        </w:pBdr>
        <w:tabs>
          <w:tab w:val="left" w:pos="284"/>
        </w:tabs>
        <w:ind w:right="-1220" w:hanging="2"/>
        <w:jc w:val="both"/>
        <w:rPr>
          <w:rFonts w:ascii="Titillium" w:eastAsia="Titillium" w:hAnsi="Titillium" w:cs="Titillium"/>
          <w:color w:val="000000"/>
          <w:sz w:val="21"/>
          <w:szCs w:val="21"/>
          <w:highlight w:val="white"/>
        </w:rPr>
      </w:pPr>
      <w:r>
        <w:rPr>
          <w:rFonts w:ascii="Titillium" w:eastAsia="Titillium" w:hAnsi="Titillium" w:cs="Titillium"/>
          <w:b/>
          <w:bCs/>
          <w:color w:val="000000"/>
          <w:sz w:val="21"/>
          <w:szCs w:val="21"/>
          <w:highlight w:val="white"/>
        </w:rPr>
        <w:t>Lo Istituto di Astrofisica e Planetologia Spaziali - INAF</w:t>
      </w:r>
      <w:r>
        <w:rPr>
          <w:rFonts w:ascii="Titillium" w:eastAsia="Titillium" w:hAnsi="Titillium" w:cs="Titillium"/>
          <w:color w:val="000000"/>
          <w:sz w:val="21"/>
          <w:szCs w:val="21"/>
          <w:highlight w:val="white"/>
        </w:rPr>
        <w:t xml:space="preserve"> corrisponderà all’IMPRESA l'importo di </w:t>
      </w:r>
      <w:r>
        <w:rPr>
          <w:rFonts w:ascii="Titillium" w:eastAsia="Titillium" w:hAnsi="Titillium" w:cs="Titillium"/>
          <w:b/>
          <w:bCs/>
          <w:color w:val="000000"/>
          <w:sz w:val="21"/>
          <w:szCs w:val="21"/>
          <w:highlight w:val="white"/>
        </w:rPr>
        <w:t xml:space="preserve">€ </w:t>
      </w:r>
      <w:proofErr w:type="spellStart"/>
      <w:r>
        <w:rPr>
          <w:rFonts w:ascii="Titillium" w:eastAsia="Titillium" w:hAnsi="Titillium" w:cs="Titillium"/>
          <w:b/>
          <w:bCs/>
          <w:color w:val="FF0000"/>
          <w:sz w:val="21"/>
          <w:szCs w:val="21"/>
          <w:highlight w:val="white"/>
        </w:rPr>
        <w:t>xxxxxxxxxxxxxxxx</w:t>
      </w:r>
      <w:proofErr w:type="spellEnd"/>
      <w:r>
        <w:rPr>
          <w:rFonts w:ascii="Titillium" w:eastAsia="Titillium" w:hAnsi="Titillium" w:cs="Titillium"/>
          <w:color w:val="000000"/>
          <w:sz w:val="21"/>
          <w:szCs w:val="21"/>
          <w:highlight w:val="white"/>
        </w:rPr>
        <w:t xml:space="preserve">. L’IVA, pari al 22% (ventidue per cento) sarà versata secondo quanto previsto in materia di split payment dall’art. 17 ter del d.P.R. numero 633/1972 e successive modifiche ed integrazioni. Il costo complessivo a carico dello </w:t>
      </w:r>
      <w:r>
        <w:rPr>
          <w:rFonts w:ascii="Titillium" w:eastAsia="Titillium" w:hAnsi="Titillium" w:cs="Titillium"/>
          <w:b/>
          <w:bCs/>
          <w:color w:val="000000"/>
          <w:sz w:val="21"/>
          <w:szCs w:val="21"/>
          <w:highlight w:val="white"/>
        </w:rPr>
        <w:t>Istituto di Astrofisica e Planetologia Spaziali - INAF</w:t>
      </w:r>
      <w:r>
        <w:rPr>
          <w:rFonts w:ascii="Titillium" w:eastAsia="Titillium" w:hAnsi="Titillium" w:cs="Titillium"/>
          <w:color w:val="000000"/>
          <w:sz w:val="21"/>
          <w:szCs w:val="21"/>
          <w:highlight w:val="white"/>
        </w:rPr>
        <w:t xml:space="preserve"> è quindi pari a </w:t>
      </w:r>
      <w:proofErr w:type="gramStart"/>
      <w:r>
        <w:rPr>
          <w:rFonts w:ascii="Titillium" w:eastAsia="Titillium" w:hAnsi="Titillium" w:cs="Titillium"/>
          <w:color w:val="000000"/>
          <w:sz w:val="21"/>
          <w:szCs w:val="21"/>
          <w:highlight w:val="white"/>
        </w:rPr>
        <w:t xml:space="preserve">€ </w:t>
      </w:r>
      <w:r>
        <w:rPr>
          <w:rFonts w:ascii="Titillium" w:eastAsia="Titillium" w:hAnsi="Titillium" w:cs="Titillium"/>
          <w:b/>
          <w:bCs/>
          <w:color w:val="000000"/>
          <w:sz w:val="21"/>
          <w:szCs w:val="21"/>
          <w:highlight w:val="white"/>
        </w:rPr>
        <w:t xml:space="preserve"> </w:t>
      </w:r>
      <w:proofErr w:type="spellStart"/>
      <w:r>
        <w:rPr>
          <w:rFonts w:ascii="Titillium" w:eastAsia="Titillium" w:hAnsi="Titillium" w:cs="Titillium"/>
          <w:b/>
          <w:bCs/>
          <w:color w:val="FF0000"/>
          <w:sz w:val="21"/>
          <w:szCs w:val="21"/>
          <w:highlight w:val="white"/>
        </w:rPr>
        <w:t>xxxxxxxxxxxxxxxxxxxx</w:t>
      </w:r>
      <w:proofErr w:type="spellEnd"/>
      <w:proofErr w:type="gramEnd"/>
      <w:r>
        <w:rPr>
          <w:rFonts w:ascii="Titillium" w:eastAsia="Titillium" w:hAnsi="Titillium" w:cs="Titillium"/>
          <w:b/>
          <w:bCs/>
          <w:color w:val="000000"/>
          <w:sz w:val="21"/>
          <w:szCs w:val="21"/>
          <w:highlight w:val="white"/>
        </w:rPr>
        <w:t xml:space="preserve">. </w:t>
      </w:r>
      <w:r>
        <w:rPr>
          <w:rFonts w:ascii="Titillium" w:eastAsia="Titillium" w:hAnsi="Titillium" w:cs="Titillium"/>
          <w:color w:val="000000"/>
          <w:sz w:val="21"/>
          <w:szCs w:val="21"/>
          <w:highlight w:val="white"/>
        </w:rPr>
        <w:t>Il corrispettivo si intende comprensivo di ogni onere, obbligo e utile e comunque idoneo alla regolare esecuzione dell’appalto oggetto del presente Contratto.</w:t>
      </w:r>
    </w:p>
    <w:p w14:paraId="4A147F5B" w14:textId="77777777" w:rsidR="00E551BF" w:rsidRDefault="00E551BF">
      <w:pPr>
        <w:keepNext/>
        <w:widowControl w:val="0"/>
        <w:pBdr>
          <w:top w:val="nil"/>
          <w:left w:val="nil"/>
          <w:bottom w:val="nil"/>
          <w:right w:val="nil"/>
          <w:between w:val="nil"/>
        </w:pBdr>
        <w:tabs>
          <w:tab w:val="left" w:pos="284"/>
        </w:tabs>
        <w:ind w:right="-1220" w:hanging="2"/>
        <w:jc w:val="both"/>
        <w:rPr>
          <w:rFonts w:ascii="Titillium" w:eastAsia="Titillium" w:hAnsi="Titillium" w:cs="Titillium"/>
          <w:sz w:val="21"/>
          <w:szCs w:val="21"/>
          <w:highlight w:val="white"/>
        </w:rPr>
      </w:pPr>
    </w:p>
    <w:p w14:paraId="0F66AE83" w14:textId="77777777" w:rsidR="00E551BF" w:rsidRDefault="00AC5484">
      <w:pPr>
        <w:widowControl w:val="0"/>
        <w:pBdr>
          <w:top w:val="nil"/>
          <w:left w:val="nil"/>
          <w:bottom w:val="nil"/>
          <w:right w:val="nil"/>
          <w:between w:val="nil"/>
        </w:pBdr>
        <w:tabs>
          <w:tab w:val="left" w:pos="284"/>
        </w:tabs>
        <w:ind w:right="-1220" w:hanging="2"/>
        <w:jc w:val="center"/>
        <w:rPr>
          <w:rFonts w:ascii="Titillium" w:eastAsia="Titillium" w:hAnsi="Titillium" w:cs="Titillium"/>
          <w:color w:val="000000"/>
          <w:sz w:val="21"/>
          <w:szCs w:val="21"/>
          <w:highlight w:val="white"/>
        </w:rPr>
      </w:pPr>
      <w:r>
        <w:rPr>
          <w:rFonts w:ascii="Titillium" w:eastAsia="Titillium" w:hAnsi="Titillium" w:cs="Titillium"/>
          <w:b/>
          <w:bCs/>
          <w:color w:val="000000"/>
          <w:sz w:val="21"/>
          <w:szCs w:val="21"/>
          <w:highlight w:val="white"/>
        </w:rPr>
        <w:t>Art. 6</w:t>
      </w:r>
      <w:r>
        <w:rPr>
          <w:rFonts w:ascii="Titillium" w:eastAsia="Titillium" w:hAnsi="Titillium" w:cs="Titillium"/>
          <w:b/>
          <w:bCs/>
          <w:color w:val="000000"/>
          <w:sz w:val="21"/>
          <w:szCs w:val="21"/>
          <w:highlight w:val="white"/>
          <w:u w:val="single"/>
        </w:rPr>
        <w:t xml:space="preserve"> Revisione prezzi</w:t>
      </w:r>
    </w:p>
    <w:p w14:paraId="71419301" w14:textId="77777777" w:rsidR="00E551BF" w:rsidRDefault="00AC5484">
      <w:pPr>
        <w:widowControl w:val="0"/>
        <w:pBdr>
          <w:top w:val="nil"/>
          <w:left w:val="nil"/>
          <w:bottom w:val="nil"/>
          <w:right w:val="nil"/>
          <w:between w:val="nil"/>
        </w:pBdr>
        <w:tabs>
          <w:tab w:val="left" w:pos="284"/>
        </w:tabs>
        <w:ind w:right="-1220" w:hanging="2"/>
        <w:jc w:val="both"/>
        <w:rPr>
          <w:rFonts w:ascii="Titillium" w:eastAsia="Titillium" w:hAnsi="Titillium" w:cs="Titillium"/>
          <w:b/>
          <w:bCs/>
          <w:color w:val="000000"/>
          <w:sz w:val="21"/>
          <w:szCs w:val="21"/>
          <w:highlight w:val="white"/>
        </w:rPr>
      </w:pPr>
      <w:r>
        <w:rPr>
          <w:rFonts w:ascii="Titillium" w:eastAsia="Titillium" w:hAnsi="Titillium" w:cs="Titillium"/>
          <w:color w:val="000000"/>
          <w:sz w:val="21"/>
          <w:szCs w:val="21"/>
          <w:highlight w:val="white"/>
        </w:rPr>
        <w:t>A partire dalla seconda annualità contrattuale i prezzi sono aggiornati, in aumento o in diminuzione sulla base dei prezzi standard rilevati dall’ANAC, degli elenchi dei prezzi rilevati dall’ISTAT, oppure, qualora i dati suindicati non siano disponibili, in misura non superiore alla differenza tra l’indice Istat dei prezzi al consumo per le famiglie di operai e impiegati, al netto dei tabacchi (c.d. FOI) disponibile al momento del pagamento del corrispettivo e quello corrispondente al mese/anno di sottoscri</w:t>
      </w:r>
      <w:r>
        <w:rPr>
          <w:rFonts w:ascii="Titillium" w:eastAsia="Titillium" w:hAnsi="Titillium" w:cs="Titillium"/>
          <w:color w:val="000000"/>
          <w:sz w:val="21"/>
          <w:szCs w:val="21"/>
          <w:highlight w:val="white"/>
        </w:rPr>
        <w:t>zione del contratto. La revisione dei prezzi è riconosciuta se le variazioni accertate risultano superiori al 10</w:t>
      </w:r>
      <w:r>
        <w:rPr>
          <w:rFonts w:ascii="Titillium" w:eastAsia="Titillium" w:hAnsi="Titillium" w:cs="Titillium"/>
          <w:b/>
          <w:bCs/>
          <w:color w:val="C00000"/>
          <w:sz w:val="21"/>
          <w:szCs w:val="21"/>
          <w:highlight w:val="white"/>
        </w:rPr>
        <w:t>.</w:t>
      </w:r>
      <w:r>
        <w:rPr>
          <w:rFonts w:ascii="Titillium" w:eastAsia="Titillium" w:hAnsi="Titillium" w:cs="Titillium"/>
          <w:color w:val="C00000"/>
          <w:sz w:val="21"/>
          <w:szCs w:val="21"/>
          <w:highlight w:val="white"/>
        </w:rPr>
        <w:t xml:space="preserve"> </w:t>
      </w:r>
      <w:r>
        <w:rPr>
          <w:rFonts w:ascii="Titillium" w:eastAsia="Titillium" w:hAnsi="Titillium" w:cs="Titillium"/>
          <w:color w:val="000000"/>
          <w:sz w:val="21"/>
          <w:szCs w:val="21"/>
          <w:highlight w:val="white"/>
        </w:rPr>
        <w:t>La revisione dei prezzi può essere richiesta una sola volta per ciascuna annualità a partire dal secondo anno.</w:t>
      </w:r>
      <w:r>
        <w:rPr>
          <w:rFonts w:ascii="Titillium" w:eastAsia="Titillium" w:hAnsi="Titillium" w:cs="Titillium"/>
          <w:b/>
          <w:bCs/>
          <w:color w:val="000000"/>
          <w:sz w:val="21"/>
          <w:szCs w:val="21"/>
          <w:highlight w:val="white"/>
        </w:rPr>
        <w:t xml:space="preserve"> </w:t>
      </w:r>
    </w:p>
    <w:p w14:paraId="7BB18F23" w14:textId="77777777" w:rsidR="00E551BF" w:rsidRDefault="00E551BF">
      <w:pPr>
        <w:widowControl w:val="0"/>
        <w:pBdr>
          <w:top w:val="nil"/>
          <w:left w:val="nil"/>
          <w:bottom w:val="nil"/>
          <w:right w:val="nil"/>
          <w:between w:val="nil"/>
        </w:pBdr>
        <w:tabs>
          <w:tab w:val="left" w:pos="284"/>
        </w:tabs>
        <w:ind w:right="-1220" w:hanging="2"/>
        <w:jc w:val="both"/>
        <w:rPr>
          <w:rFonts w:ascii="Titillium" w:eastAsia="Titillium" w:hAnsi="Titillium" w:cs="Titillium"/>
          <w:b/>
          <w:bCs/>
          <w:sz w:val="21"/>
          <w:szCs w:val="21"/>
          <w:highlight w:val="white"/>
        </w:rPr>
      </w:pPr>
    </w:p>
    <w:p w14:paraId="65CD22A1" w14:textId="77777777" w:rsidR="00E551BF" w:rsidRDefault="00AC5484">
      <w:pPr>
        <w:widowControl w:val="0"/>
        <w:pBdr>
          <w:top w:val="nil"/>
          <w:left w:val="nil"/>
          <w:bottom w:val="nil"/>
          <w:right w:val="nil"/>
          <w:between w:val="nil"/>
        </w:pBdr>
        <w:tabs>
          <w:tab w:val="left" w:pos="284"/>
        </w:tabs>
        <w:ind w:right="-1220" w:hanging="2"/>
        <w:jc w:val="center"/>
        <w:rPr>
          <w:rFonts w:ascii="Titillium" w:eastAsia="Titillium" w:hAnsi="Titillium" w:cs="Titillium"/>
          <w:b/>
          <w:bCs/>
          <w:sz w:val="21"/>
          <w:szCs w:val="21"/>
          <w:highlight w:val="white"/>
          <w:u w:val="single"/>
        </w:rPr>
      </w:pPr>
      <w:r>
        <w:rPr>
          <w:rFonts w:ascii="Titillium" w:eastAsia="Titillium" w:hAnsi="Titillium" w:cs="Titillium"/>
          <w:b/>
          <w:bCs/>
          <w:sz w:val="21"/>
          <w:szCs w:val="21"/>
          <w:highlight w:val="white"/>
        </w:rPr>
        <w:t>Art.  7</w:t>
      </w:r>
      <w:r>
        <w:rPr>
          <w:rFonts w:ascii="Titillium" w:eastAsia="Titillium" w:hAnsi="Titillium" w:cs="Titillium"/>
          <w:b/>
          <w:bCs/>
          <w:sz w:val="21"/>
          <w:szCs w:val="21"/>
          <w:highlight w:val="white"/>
          <w:u w:val="single"/>
        </w:rPr>
        <w:t xml:space="preserve"> Modifica del contratto</w:t>
      </w:r>
    </w:p>
    <w:p w14:paraId="09B67081" w14:textId="77777777" w:rsidR="00E551BF" w:rsidRDefault="00AC5484">
      <w:pPr>
        <w:widowControl w:val="0"/>
        <w:pBdr>
          <w:top w:val="nil"/>
          <w:left w:val="nil"/>
          <w:bottom w:val="nil"/>
          <w:right w:val="nil"/>
          <w:between w:val="nil"/>
        </w:pBdr>
        <w:tabs>
          <w:tab w:val="left" w:pos="284"/>
        </w:tabs>
        <w:ind w:right="-1220" w:hanging="2"/>
        <w:jc w:val="both"/>
        <w:rPr>
          <w:rFonts w:ascii="Titillium" w:eastAsia="Titillium" w:hAnsi="Titillium" w:cs="Titillium"/>
          <w:color w:val="000000"/>
          <w:sz w:val="21"/>
          <w:szCs w:val="21"/>
          <w:highlight w:val="white"/>
        </w:rPr>
      </w:pPr>
      <w:r>
        <w:rPr>
          <w:rFonts w:ascii="Titillium" w:eastAsia="Titillium" w:hAnsi="Titillium" w:cs="Titillium"/>
          <w:sz w:val="21"/>
          <w:szCs w:val="21"/>
          <w:highlight w:val="white"/>
        </w:rPr>
        <w:t xml:space="preserve"> Lo </w:t>
      </w:r>
      <w:r>
        <w:rPr>
          <w:rFonts w:ascii="Titillium" w:eastAsia="Titillium" w:hAnsi="Titillium" w:cs="Titillium"/>
          <w:b/>
          <w:bCs/>
          <w:color w:val="000000"/>
          <w:sz w:val="21"/>
          <w:szCs w:val="21"/>
          <w:highlight w:val="white"/>
        </w:rPr>
        <w:t>Istituto di Astrofisica e Planetologia Spaziali - INAF</w:t>
      </w:r>
      <w:r>
        <w:rPr>
          <w:rFonts w:ascii="Titillium" w:eastAsia="Titillium" w:hAnsi="Titillium" w:cs="Titillium"/>
          <w:sz w:val="21"/>
          <w:szCs w:val="21"/>
          <w:highlight w:val="white"/>
        </w:rPr>
        <w:t xml:space="preserve"> ai sensi dell’art.120 del Codice dei Contratto, si riserva la facoltà di esercitare tutte le modifiche al presente contratto in corso di esecuzione, limitatamente </w:t>
      </w:r>
      <w:proofErr w:type="gramStart"/>
      <w:r>
        <w:rPr>
          <w:rFonts w:ascii="Titillium" w:eastAsia="Titillium" w:hAnsi="Titillium" w:cs="Titillium"/>
          <w:sz w:val="21"/>
          <w:szCs w:val="21"/>
          <w:highlight w:val="white"/>
        </w:rPr>
        <w:t>alle condizione</w:t>
      </w:r>
      <w:proofErr w:type="gramEnd"/>
      <w:r>
        <w:rPr>
          <w:rFonts w:ascii="Titillium" w:eastAsia="Titillium" w:hAnsi="Titillium" w:cs="Titillium"/>
          <w:sz w:val="21"/>
          <w:szCs w:val="21"/>
          <w:highlight w:val="white"/>
        </w:rPr>
        <w:t xml:space="preserve"> e al tempo previsto dalle disposizioni suddette</w:t>
      </w:r>
    </w:p>
    <w:p w14:paraId="3706BB90" w14:textId="77777777" w:rsidR="00E551BF" w:rsidRDefault="00E551BF">
      <w:pPr>
        <w:keepNext/>
        <w:widowControl w:val="0"/>
        <w:pBdr>
          <w:top w:val="nil"/>
          <w:left w:val="nil"/>
          <w:bottom w:val="nil"/>
          <w:right w:val="nil"/>
          <w:between w:val="nil"/>
        </w:pBdr>
        <w:tabs>
          <w:tab w:val="left" w:pos="284"/>
        </w:tabs>
        <w:ind w:right="-1220" w:hanging="2"/>
        <w:jc w:val="both"/>
        <w:rPr>
          <w:rFonts w:ascii="Titillium" w:eastAsia="Titillium" w:hAnsi="Titillium" w:cs="Titillium"/>
          <w:sz w:val="21"/>
          <w:szCs w:val="21"/>
          <w:highlight w:val="white"/>
        </w:rPr>
      </w:pPr>
    </w:p>
    <w:p w14:paraId="18564DB8" w14:textId="77777777" w:rsidR="00E551BF" w:rsidRDefault="00AC5484">
      <w:pPr>
        <w:keepNext/>
        <w:widowControl w:val="0"/>
        <w:pBdr>
          <w:top w:val="nil"/>
          <w:left w:val="nil"/>
          <w:bottom w:val="nil"/>
          <w:right w:val="nil"/>
          <w:between w:val="nil"/>
        </w:pBdr>
        <w:tabs>
          <w:tab w:val="left" w:pos="284"/>
        </w:tabs>
        <w:ind w:right="-1220" w:hanging="2"/>
        <w:jc w:val="center"/>
        <w:rPr>
          <w:rFonts w:ascii="Titillium" w:eastAsia="Titillium" w:hAnsi="Titillium" w:cs="Titillium"/>
          <w:b/>
          <w:bCs/>
          <w:color w:val="000000"/>
          <w:sz w:val="21"/>
          <w:szCs w:val="21"/>
          <w:highlight w:val="white"/>
        </w:rPr>
      </w:pPr>
      <w:r>
        <w:rPr>
          <w:rFonts w:ascii="Titillium" w:eastAsia="Titillium" w:hAnsi="Titillium" w:cs="Titillium"/>
          <w:b/>
          <w:bCs/>
          <w:color w:val="000000"/>
          <w:sz w:val="21"/>
          <w:szCs w:val="21"/>
          <w:highlight w:val="white"/>
        </w:rPr>
        <w:t xml:space="preserve">Art. 8 </w:t>
      </w:r>
      <w:r>
        <w:rPr>
          <w:rFonts w:ascii="Titillium" w:eastAsia="Titillium" w:hAnsi="Titillium" w:cs="Titillium"/>
          <w:b/>
          <w:bCs/>
          <w:color w:val="000000"/>
          <w:sz w:val="21"/>
          <w:szCs w:val="21"/>
          <w:highlight w:val="white"/>
          <w:u w:val="single"/>
        </w:rPr>
        <w:t>Obblighi a carico dell’IMPRESA</w:t>
      </w:r>
      <w:r>
        <w:rPr>
          <w:rFonts w:ascii="Titillium" w:eastAsia="Titillium" w:hAnsi="Titillium" w:cs="Titillium"/>
          <w:b/>
          <w:bCs/>
          <w:color w:val="000000"/>
          <w:sz w:val="21"/>
          <w:szCs w:val="21"/>
          <w:highlight w:val="white"/>
        </w:rPr>
        <w:t xml:space="preserve"> </w:t>
      </w:r>
    </w:p>
    <w:p w14:paraId="41F04D7B" w14:textId="77777777" w:rsidR="00E551BF" w:rsidRDefault="00AC5484">
      <w:pPr>
        <w:keepNext/>
        <w:widowControl w:val="0"/>
        <w:pBdr>
          <w:top w:val="nil"/>
          <w:left w:val="nil"/>
          <w:bottom w:val="nil"/>
          <w:right w:val="nil"/>
          <w:between w:val="nil"/>
        </w:pBdr>
        <w:tabs>
          <w:tab w:val="left" w:pos="284"/>
        </w:tabs>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L’impresa si obbliga:</w:t>
      </w:r>
    </w:p>
    <w:p w14:paraId="3AD94605" w14:textId="77777777" w:rsidR="00E551BF" w:rsidRDefault="00AC5484">
      <w:pPr>
        <w:keepNext/>
        <w:widowControl w:val="0"/>
        <w:numPr>
          <w:ilvl w:val="0"/>
          <w:numId w:val="5"/>
        </w:numPr>
        <w:pBdr>
          <w:top w:val="nil"/>
          <w:left w:val="nil"/>
          <w:bottom w:val="nil"/>
          <w:right w:val="nil"/>
          <w:between w:val="nil"/>
        </w:pBdr>
        <w:tabs>
          <w:tab w:val="left" w:pos="284"/>
        </w:tabs>
        <w:ind w:left="0"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eseguire le forniture ed i servizi oggetto del Contratto, dettagliatamente descritti nel Capitolato Tecnico e impiegando tutte le strutture ed il personale necessario per la loro realizzazione secondo quanto stabilito nel Contratto e negli atti relativi al presente affidamento;</w:t>
      </w:r>
    </w:p>
    <w:p w14:paraId="3C5FFB98" w14:textId="77777777" w:rsidR="00E551BF" w:rsidRDefault="00AC5484">
      <w:pPr>
        <w:keepNext/>
        <w:widowControl w:val="0"/>
        <w:numPr>
          <w:ilvl w:val="0"/>
          <w:numId w:val="5"/>
        </w:numPr>
        <w:pBdr>
          <w:top w:val="nil"/>
          <w:left w:val="nil"/>
          <w:bottom w:val="nil"/>
          <w:right w:val="nil"/>
          <w:between w:val="nil"/>
        </w:pBdr>
        <w:tabs>
          <w:tab w:val="left" w:pos="284"/>
        </w:tabs>
        <w:ind w:left="0"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eseguire tutte le attività di cui al capitolato tecnico secondo le modalità e le tempistiche ivi riportate;</w:t>
      </w:r>
    </w:p>
    <w:p w14:paraId="4943BE86" w14:textId="77777777" w:rsidR="00E551BF" w:rsidRDefault="00AC5484">
      <w:pPr>
        <w:keepNext/>
        <w:widowControl w:val="0"/>
        <w:numPr>
          <w:ilvl w:val="0"/>
          <w:numId w:val="5"/>
        </w:numPr>
        <w:pBdr>
          <w:top w:val="nil"/>
          <w:left w:val="nil"/>
          <w:bottom w:val="nil"/>
          <w:right w:val="nil"/>
          <w:between w:val="nil"/>
        </w:pBdr>
        <w:tabs>
          <w:tab w:val="left" w:pos="284"/>
        </w:tabs>
        <w:ind w:left="0"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predisporre tutti gli strumenti e le metodologie, comprensivi della relativa documentazione, atti a garantire elevati livelli di servizio, ivi compresi quelli relativi alla sicurezza e riservatezza, nonché atti a consentire a INAF di monitorare la conformità della prestazione alle norme previste nel Contratto;</w:t>
      </w:r>
    </w:p>
    <w:p w14:paraId="46F0FF62" w14:textId="77777777" w:rsidR="00E551BF" w:rsidRDefault="00AC5484">
      <w:pPr>
        <w:keepNext/>
        <w:widowControl w:val="0"/>
        <w:numPr>
          <w:ilvl w:val="0"/>
          <w:numId w:val="5"/>
        </w:numPr>
        <w:pBdr>
          <w:top w:val="nil"/>
          <w:left w:val="nil"/>
          <w:bottom w:val="nil"/>
          <w:right w:val="nil"/>
          <w:between w:val="nil"/>
        </w:pBdr>
        <w:tabs>
          <w:tab w:val="left" w:pos="284"/>
        </w:tabs>
        <w:ind w:left="0"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manlevare e tenere indenne INAF per quanto di rispettiva competenza, dalle pretese che i terzi dovessero avanzare in relazione ai danni derivanti da servizi resi in modalità diverse rispetto a quanto previsto nel presente Contratto, ovvero in relazione a diritti di privativa vantati da terzi;</w:t>
      </w:r>
    </w:p>
    <w:p w14:paraId="2682313D" w14:textId="77777777" w:rsidR="00E551BF" w:rsidRDefault="00AC5484">
      <w:pPr>
        <w:keepNext/>
        <w:widowControl w:val="0"/>
        <w:numPr>
          <w:ilvl w:val="0"/>
          <w:numId w:val="5"/>
        </w:numPr>
        <w:pBdr>
          <w:top w:val="nil"/>
          <w:left w:val="nil"/>
          <w:bottom w:val="nil"/>
          <w:right w:val="nil"/>
          <w:between w:val="nil"/>
        </w:pBdr>
        <w:tabs>
          <w:tab w:val="left" w:pos="284"/>
        </w:tabs>
        <w:ind w:left="0"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per il personale impiegato a qualsiasi titolo nel presente appalto, ad ottemperare nei confronti dei propri dipendenti e collaboratori, a tutti gli obblighi derivanti dalle vigenti disposizioni legislative, regolamentari e di CCNL di categoria, in materia di retribuzione, previdenza, assistenza e assicurazione </w:t>
      </w:r>
      <w:r>
        <w:rPr>
          <w:rFonts w:ascii="Titillium" w:eastAsia="Titillium" w:hAnsi="Titillium" w:cs="Titillium"/>
          <w:color w:val="000000"/>
          <w:sz w:val="21"/>
          <w:szCs w:val="21"/>
          <w:highlight w:val="white"/>
        </w:rPr>
        <w:lastRenderedPageBreak/>
        <w:t xml:space="preserve">con esclusione di qualsiasi responsabilità da parte dell’INAF </w:t>
      </w:r>
    </w:p>
    <w:p w14:paraId="6BA7B472" w14:textId="77777777" w:rsidR="00E551BF" w:rsidRDefault="00AC5484">
      <w:pPr>
        <w:keepNext/>
        <w:widowControl w:val="0"/>
        <w:numPr>
          <w:ilvl w:val="0"/>
          <w:numId w:val="5"/>
        </w:numPr>
        <w:pBdr>
          <w:top w:val="nil"/>
          <w:left w:val="nil"/>
          <w:bottom w:val="nil"/>
          <w:right w:val="nil"/>
          <w:between w:val="nil"/>
        </w:pBdr>
        <w:tabs>
          <w:tab w:val="left" w:pos="284"/>
        </w:tabs>
        <w:ind w:left="0"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all’osservanza delle norme e delle disposizioni legislative in materia di prevenzione dagli infortuni e di igiene sul lavoro, impartendo ai propri dipendenti e collaboratori precise istruzioni sui rischi specifici esistenti nell’ambiente di lavoro in cui sono chiamati a prestare la loro attività. In particolare, l'IMPRESA si impegna a rispettare, nell'esecuzione delle obbligazioni contrattuali, le disposizioni di cui al D.lgs. numero 81/2008 e successive modifiche ed integrazioni. </w:t>
      </w:r>
    </w:p>
    <w:p w14:paraId="1BC2579A" w14:textId="77777777" w:rsidR="00E551BF" w:rsidRDefault="00AC5484">
      <w:pPr>
        <w:keepNext/>
        <w:widowControl w:val="0"/>
        <w:numPr>
          <w:ilvl w:val="0"/>
          <w:numId w:val="5"/>
        </w:numPr>
        <w:pBdr>
          <w:top w:val="nil"/>
          <w:left w:val="nil"/>
          <w:bottom w:val="nil"/>
          <w:right w:val="nil"/>
          <w:between w:val="nil"/>
        </w:pBdr>
        <w:tabs>
          <w:tab w:val="left" w:pos="284"/>
        </w:tabs>
        <w:ind w:left="0"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a far osservare, per quanto compatibile, ai propri dipendenti e collaboratori il Codice di comportamento in materia di anticorruzione del personale INAF, pubblicato nella sezione “Amministrazione trasparente” del sito istituzionale dell’INAF. L’IMPRESA dichiara di aver preso visione e di essere a conoscenza del contenuto del </w:t>
      </w:r>
      <w:proofErr w:type="gramStart"/>
      <w:r>
        <w:rPr>
          <w:rFonts w:ascii="Titillium" w:eastAsia="Titillium" w:hAnsi="Titillium" w:cs="Titillium"/>
          <w:color w:val="000000"/>
          <w:sz w:val="21"/>
          <w:szCs w:val="21"/>
          <w:highlight w:val="white"/>
        </w:rPr>
        <w:t>predetto</w:t>
      </w:r>
      <w:proofErr w:type="gramEnd"/>
      <w:r>
        <w:rPr>
          <w:rFonts w:ascii="Titillium" w:eastAsia="Titillium" w:hAnsi="Titillium" w:cs="Titillium"/>
          <w:color w:val="000000"/>
          <w:sz w:val="21"/>
          <w:szCs w:val="21"/>
          <w:highlight w:val="white"/>
        </w:rPr>
        <w:t xml:space="preserve"> Codice; nelle ipotesi di grave violazione delle </w:t>
      </w:r>
      <w:r>
        <w:rPr>
          <w:rFonts w:ascii="Titillium" w:eastAsia="Titillium" w:hAnsi="Titillium" w:cs="Titillium"/>
          <w:sz w:val="21"/>
          <w:szCs w:val="21"/>
          <w:highlight w:val="white"/>
        </w:rPr>
        <w:t>disposizioni</w:t>
      </w:r>
      <w:r>
        <w:rPr>
          <w:rFonts w:ascii="Titillium" w:eastAsia="Titillium" w:hAnsi="Titillium" w:cs="Titillium"/>
          <w:color w:val="000000"/>
          <w:sz w:val="21"/>
          <w:szCs w:val="21"/>
          <w:highlight w:val="white"/>
        </w:rPr>
        <w:t xml:space="preserve"> ivi contenute, la stazione appaltante si riserva la facoltà di risolvere il contratto.</w:t>
      </w:r>
    </w:p>
    <w:p w14:paraId="09A76EDD" w14:textId="77777777" w:rsidR="00E551BF" w:rsidRDefault="00AC5484">
      <w:pPr>
        <w:keepNext/>
        <w:widowControl w:val="0"/>
        <w:numPr>
          <w:ilvl w:val="0"/>
          <w:numId w:val="5"/>
        </w:numPr>
        <w:pBdr>
          <w:top w:val="nil"/>
          <w:left w:val="nil"/>
          <w:bottom w:val="nil"/>
          <w:right w:val="nil"/>
          <w:between w:val="nil"/>
        </w:pBdr>
        <w:tabs>
          <w:tab w:val="left" w:pos="284"/>
        </w:tabs>
        <w:ind w:left="0"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al rispetto delle disposizioni di cui all’art. 53, comma 16-ter del D.lgs. numero 165/2001 e successive modifiche ed integrazioni in materia di conferimento di incarichi o contratti di lavoro ad ex dipendenti della stazione appaltante pena l’obbligo di restituzione dei compensi illegittimamente percepiti ed accertati ad essi riferiti.</w:t>
      </w:r>
    </w:p>
    <w:p w14:paraId="7754C56F" w14:textId="77777777" w:rsidR="00E551BF" w:rsidRDefault="00AC5484">
      <w:pPr>
        <w:keepNext/>
        <w:widowControl w:val="0"/>
        <w:numPr>
          <w:ilvl w:val="0"/>
          <w:numId w:val="5"/>
        </w:numPr>
        <w:pBdr>
          <w:top w:val="nil"/>
          <w:left w:val="nil"/>
          <w:bottom w:val="nil"/>
          <w:right w:val="nil"/>
          <w:between w:val="nil"/>
        </w:pBdr>
        <w:tabs>
          <w:tab w:val="left" w:pos="284"/>
        </w:tabs>
        <w:ind w:left="0"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assicurare una quota pari ad almeno il 30% delle assunzioni necessarie per l’esecuzione del contratto o per la realizzazione di attività ad essa connesse o strumentali, destinata sia all’occupazione giovanile sia all’occupazione femminile. A tal fine, l’IMPRESA dovrà produrre, su richiesta, apposita dichiarazione contenente le informazioni relative alle eventuali assunzioni effettuate durante il periodo di vigenza del Contratto con indicazione del numero di persone assunte e relativa indicazione di età e ge</w:t>
      </w:r>
      <w:r>
        <w:rPr>
          <w:rFonts w:ascii="Titillium" w:eastAsia="Titillium" w:hAnsi="Titillium" w:cs="Titillium"/>
          <w:color w:val="000000"/>
          <w:sz w:val="21"/>
          <w:szCs w:val="21"/>
          <w:highlight w:val="white"/>
        </w:rPr>
        <w:t>nere. La violazione del presente obbligo determina l’applicazione della penale di cui al successivo articolo “Penali”, fatta salva la possibilità di deroga;</w:t>
      </w:r>
    </w:p>
    <w:p w14:paraId="0A273986" w14:textId="77777777" w:rsidR="00E551BF" w:rsidRDefault="00E551BF">
      <w:pPr>
        <w:keepNext/>
        <w:widowControl w:val="0"/>
        <w:pBdr>
          <w:top w:val="nil"/>
          <w:left w:val="nil"/>
          <w:bottom w:val="nil"/>
          <w:right w:val="nil"/>
          <w:between w:val="nil"/>
        </w:pBdr>
        <w:tabs>
          <w:tab w:val="left" w:pos="284"/>
        </w:tabs>
        <w:ind w:right="-1220" w:hanging="2"/>
        <w:jc w:val="both"/>
        <w:rPr>
          <w:rFonts w:ascii="Titillium" w:eastAsia="Titillium" w:hAnsi="Titillium" w:cs="Titillium"/>
          <w:b/>
          <w:bCs/>
          <w:color w:val="C00000"/>
          <w:sz w:val="21"/>
          <w:szCs w:val="21"/>
          <w:highlight w:val="white"/>
        </w:rPr>
      </w:pPr>
    </w:p>
    <w:p w14:paraId="1DD68972" w14:textId="77777777" w:rsidR="00E551BF" w:rsidRDefault="00AC5484">
      <w:pPr>
        <w:keepNext/>
        <w:widowControl w:val="0"/>
        <w:pBdr>
          <w:top w:val="nil"/>
          <w:left w:val="nil"/>
          <w:bottom w:val="nil"/>
          <w:right w:val="nil"/>
          <w:between w:val="nil"/>
        </w:pBdr>
        <w:tabs>
          <w:tab w:val="left" w:pos="426"/>
        </w:tabs>
        <w:ind w:right="-1220" w:hanging="2"/>
        <w:jc w:val="center"/>
        <w:rPr>
          <w:rFonts w:ascii="Titillium" w:eastAsia="Titillium" w:hAnsi="Titillium" w:cs="Titillium"/>
          <w:b/>
          <w:bCs/>
          <w:color w:val="000000"/>
          <w:sz w:val="21"/>
          <w:szCs w:val="21"/>
          <w:highlight w:val="white"/>
        </w:rPr>
      </w:pPr>
      <w:r>
        <w:rPr>
          <w:rFonts w:ascii="Titillium" w:eastAsia="Titillium" w:hAnsi="Titillium" w:cs="Titillium"/>
          <w:b/>
          <w:bCs/>
          <w:color w:val="000000"/>
          <w:sz w:val="21"/>
          <w:szCs w:val="21"/>
          <w:highlight w:val="white"/>
        </w:rPr>
        <w:t xml:space="preserve">Art. </w:t>
      </w:r>
      <w:proofErr w:type="gramStart"/>
      <w:r>
        <w:rPr>
          <w:rFonts w:ascii="Titillium" w:eastAsia="Titillium" w:hAnsi="Titillium" w:cs="Titillium"/>
          <w:b/>
          <w:bCs/>
          <w:color w:val="000000"/>
          <w:sz w:val="21"/>
          <w:szCs w:val="21"/>
          <w:highlight w:val="white"/>
        </w:rPr>
        <w:t xml:space="preserve">9  </w:t>
      </w:r>
      <w:r>
        <w:rPr>
          <w:rFonts w:ascii="Titillium" w:eastAsia="Titillium" w:hAnsi="Titillium" w:cs="Titillium"/>
          <w:b/>
          <w:bCs/>
          <w:color w:val="000000"/>
          <w:sz w:val="21"/>
          <w:szCs w:val="21"/>
          <w:highlight w:val="white"/>
          <w:u w:val="single"/>
        </w:rPr>
        <w:t>Sostenibilità</w:t>
      </w:r>
      <w:proofErr w:type="gramEnd"/>
      <w:r>
        <w:rPr>
          <w:rFonts w:ascii="Titillium" w:eastAsia="Titillium" w:hAnsi="Titillium" w:cs="Titillium"/>
          <w:b/>
          <w:bCs/>
          <w:color w:val="000000"/>
          <w:sz w:val="21"/>
          <w:szCs w:val="21"/>
          <w:highlight w:val="white"/>
          <w:u w:val="single"/>
        </w:rPr>
        <w:t xml:space="preserve"> energetica ed ambientale</w:t>
      </w:r>
    </w:p>
    <w:p w14:paraId="4A63A3FE" w14:textId="77777777" w:rsidR="00E551BF" w:rsidRDefault="00AC5484">
      <w:pPr>
        <w:keepNext/>
        <w:widowControl w:val="0"/>
        <w:pBdr>
          <w:top w:val="nil"/>
          <w:left w:val="nil"/>
          <w:bottom w:val="nil"/>
          <w:right w:val="nil"/>
          <w:between w:val="nil"/>
        </w:pBdr>
        <w:tabs>
          <w:tab w:val="left" w:pos="426"/>
        </w:tabs>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L’Impresa</w:t>
      </w:r>
      <w:r>
        <w:rPr>
          <w:rFonts w:ascii="Titillium" w:eastAsia="Titillium" w:hAnsi="Titillium" w:cs="Titillium"/>
          <w:sz w:val="21"/>
          <w:szCs w:val="21"/>
          <w:highlight w:val="white"/>
        </w:rPr>
        <w:t xml:space="preserve"> </w:t>
      </w:r>
      <w:r>
        <w:rPr>
          <w:rFonts w:ascii="Titillium" w:eastAsia="Titillium" w:hAnsi="Titillium" w:cs="Titillium"/>
          <w:color w:val="000000"/>
          <w:sz w:val="21"/>
          <w:szCs w:val="21"/>
          <w:highlight w:val="white"/>
        </w:rPr>
        <w:t>si impegna ad effettuare le prestazioni oggetto del contratto in conformità ai criteri ambientali minimi adottati dal Ministero dell’Ambiente nell’ambito del Piano d’azione per la sostenibilità ambientale dei consumi nel settore della pubblica amministrazione.</w:t>
      </w:r>
    </w:p>
    <w:p w14:paraId="6B972F59" w14:textId="77777777" w:rsidR="00E551BF" w:rsidRDefault="00E551BF">
      <w:pPr>
        <w:keepNext/>
        <w:widowControl w:val="0"/>
        <w:pBdr>
          <w:top w:val="nil"/>
          <w:left w:val="nil"/>
          <w:bottom w:val="nil"/>
          <w:right w:val="nil"/>
          <w:between w:val="nil"/>
        </w:pBdr>
        <w:tabs>
          <w:tab w:val="left" w:pos="426"/>
        </w:tabs>
        <w:ind w:right="-1220" w:hanging="2"/>
        <w:jc w:val="both"/>
        <w:rPr>
          <w:rFonts w:ascii="Titillium" w:eastAsia="Titillium" w:hAnsi="Titillium" w:cs="Titillium"/>
          <w:color w:val="000000"/>
          <w:sz w:val="21"/>
          <w:szCs w:val="21"/>
          <w:highlight w:val="white"/>
        </w:rPr>
      </w:pPr>
    </w:p>
    <w:p w14:paraId="22004EA3" w14:textId="77777777" w:rsidR="00E551BF" w:rsidRDefault="00AC5484">
      <w:pPr>
        <w:keepNext/>
        <w:widowControl w:val="0"/>
        <w:pBdr>
          <w:top w:val="nil"/>
          <w:left w:val="nil"/>
          <w:bottom w:val="nil"/>
          <w:right w:val="nil"/>
          <w:between w:val="nil"/>
        </w:pBdr>
        <w:tabs>
          <w:tab w:val="left" w:pos="426"/>
        </w:tabs>
        <w:ind w:right="-1220" w:hanging="2"/>
        <w:jc w:val="center"/>
        <w:rPr>
          <w:rFonts w:ascii="Titillium" w:eastAsia="Titillium" w:hAnsi="Titillium" w:cs="Titillium"/>
          <w:b/>
          <w:bCs/>
          <w:color w:val="000000"/>
          <w:sz w:val="21"/>
          <w:szCs w:val="21"/>
          <w:highlight w:val="white"/>
        </w:rPr>
      </w:pPr>
      <w:r>
        <w:rPr>
          <w:rFonts w:ascii="Titillium" w:eastAsia="Titillium" w:hAnsi="Titillium" w:cs="Titillium"/>
          <w:b/>
          <w:bCs/>
          <w:color w:val="000000"/>
          <w:sz w:val="21"/>
          <w:szCs w:val="21"/>
          <w:highlight w:val="white"/>
        </w:rPr>
        <w:t xml:space="preserve">Art.  10 </w:t>
      </w:r>
      <w:r>
        <w:rPr>
          <w:rFonts w:ascii="Titillium" w:eastAsia="Titillium" w:hAnsi="Titillium" w:cs="Titillium"/>
          <w:b/>
          <w:bCs/>
          <w:color w:val="000000"/>
          <w:sz w:val="21"/>
          <w:szCs w:val="21"/>
          <w:highlight w:val="white"/>
          <w:u w:val="single"/>
        </w:rPr>
        <w:t>Modalità di esecuzione</w:t>
      </w:r>
    </w:p>
    <w:p w14:paraId="00D58CE0" w14:textId="77777777" w:rsidR="00E551BF" w:rsidRDefault="00AC5484">
      <w:pPr>
        <w:keepNext/>
        <w:widowControl w:val="0"/>
        <w:pBdr>
          <w:top w:val="nil"/>
          <w:left w:val="nil"/>
          <w:bottom w:val="nil"/>
          <w:right w:val="nil"/>
          <w:between w:val="nil"/>
        </w:pBdr>
        <w:tabs>
          <w:tab w:val="left" w:pos="426"/>
        </w:tabs>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Le condizioni e le modalità di esecuzione dell’appalto saranno esclusivamente quelle elencate nei documenti relativi al presente affidamento, accettati dall’IMPRESA, che si impegna formalmente ad eseguire l’appalto alle condizioni e con le modalità previste nei citati documenti.</w:t>
      </w:r>
    </w:p>
    <w:p w14:paraId="1B8A0FB2" w14:textId="77777777" w:rsidR="00E551BF" w:rsidRDefault="00AC5484">
      <w:pPr>
        <w:keepNext/>
        <w:widowControl w:val="0"/>
        <w:pBdr>
          <w:top w:val="nil"/>
          <w:left w:val="nil"/>
          <w:bottom w:val="nil"/>
          <w:right w:val="nil"/>
          <w:between w:val="nil"/>
        </w:pBdr>
        <w:tabs>
          <w:tab w:val="left" w:pos="426"/>
        </w:tabs>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L’erogazione della fornitura si intende comprensiva di ogni onere e spesa, nessuno escluso.</w:t>
      </w:r>
    </w:p>
    <w:p w14:paraId="1A88DA7D" w14:textId="77777777" w:rsidR="00E551BF" w:rsidRDefault="00AC5484">
      <w:pPr>
        <w:keepNext/>
        <w:widowControl w:val="0"/>
        <w:pBdr>
          <w:top w:val="nil"/>
          <w:left w:val="nil"/>
          <w:bottom w:val="nil"/>
          <w:right w:val="nil"/>
          <w:between w:val="nil"/>
        </w:pBdr>
        <w:tabs>
          <w:tab w:val="left" w:pos="426"/>
        </w:tabs>
        <w:ind w:right="-1220" w:hanging="2"/>
        <w:jc w:val="both"/>
        <w:rPr>
          <w:rFonts w:ascii="Titillium" w:eastAsia="Titillium" w:hAnsi="Titillium" w:cs="Titillium"/>
          <w:sz w:val="21"/>
          <w:szCs w:val="21"/>
          <w:highlight w:val="white"/>
        </w:rPr>
      </w:pPr>
      <w:r>
        <w:rPr>
          <w:rFonts w:ascii="Titillium" w:eastAsia="Titillium" w:hAnsi="Titillium" w:cs="Titillium"/>
          <w:color w:val="000000"/>
          <w:sz w:val="21"/>
          <w:szCs w:val="21"/>
          <w:highlight w:val="white"/>
        </w:rPr>
        <w:t xml:space="preserve">L’IMPRESA si obbliga a rispettare tutte le indicazioni relative alla buona e corretta esecuzione contrattuale che dovessero essere impartite dalla </w:t>
      </w:r>
      <w:r>
        <w:rPr>
          <w:rFonts w:ascii="Titillium" w:eastAsia="Titillium" w:hAnsi="Titillium" w:cs="Titillium"/>
          <w:sz w:val="21"/>
          <w:szCs w:val="21"/>
          <w:highlight w:val="white"/>
        </w:rPr>
        <w:t>S</w:t>
      </w:r>
      <w:r>
        <w:rPr>
          <w:rFonts w:ascii="Titillium" w:eastAsia="Titillium" w:hAnsi="Titillium" w:cs="Titillium"/>
          <w:color w:val="000000"/>
          <w:sz w:val="21"/>
          <w:szCs w:val="21"/>
          <w:highlight w:val="white"/>
        </w:rPr>
        <w:t xml:space="preserve">tazione </w:t>
      </w:r>
      <w:r>
        <w:rPr>
          <w:rFonts w:ascii="Titillium" w:eastAsia="Titillium" w:hAnsi="Titillium" w:cs="Titillium"/>
          <w:sz w:val="21"/>
          <w:szCs w:val="21"/>
          <w:highlight w:val="white"/>
        </w:rPr>
        <w:t>A</w:t>
      </w:r>
      <w:r>
        <w:rPr>
          <w:rFonts w:ascii="Titillium" w:eastAsia="Titillium" w:hAnsi="Titillium" w:cs="Titillium"/>
          <w:color w:val="000000"/>
          <w:sz w:val="21"/>
          <w:szCs w:val="21"/>
          <w:highlight w:val="white"/>
        </w:rPr>
        <w:t>ppaltante</w:t>
      </w:r>
      <w:r>
        <w:rPr>
          <w:rFonts w:ascii="Titillium" w:eastAsia="Titillium" w:hAnsi="Titillium" w:cs="Titillium"/>
          <w:sz w:val="21"/>
          <w:szCs w:val="21"/>
          <w:highlight w:val="white"/>
        </w:rPr>
        <w:t>.</w:t>
      </w:r>
    </w:p>
    <w:p w14:paraId="0F329C95" w14:textId="77777777" w:rsidR="00E551BF" w:rsidRDefault="00E551BF">
      <w:pPr>
        <w:keepNext/>
        <w:widowControl w:val="0"/>
        <w:pBdr>
          <w:top w:val="nil"/>
          <w:left w:val="nil"/>
          <w:bottom w:val="nil"/>
          <w:right w:val="nil"/>
          <w:between w:val="nil"/>
        </w:pBdr>
        <w:tabs>
          <w:tab w:val="left" w:pos="426"/>
        </w:tabs>
        <w:ind w:right="-1220" w:hanging="2"/>
        <w:jc w:val="both"/>
        <w:rPr>
          <w:rFonts w:ascii="Titillium" w:eastAsia="Titillium" w:hAnsi="Titillium" w:cs="Titillium"/>
          <w:sz w:val="21"/>
          <w:szCs w:val="21"/>
          <w:highlight w:val="white"/>
        </w:rPr>
      </w:pPr>
    </w:p>
    <w:p w14:paraId="23ADAD93" w14:textId="77777777" w:rsidR="00E551BF" w:rsidRPr="000E338E" w:rsidRDefault="00AC5484">
      <w:pPr>
        <w:keepNext/>
        <w:widowControl w:val="0"/>
        <w:pBdr>
          <w:top w:val="nil"/>
          <w:left w:val="nil"/>
          <w:bottom w:val="nil"/>
          <w:right w:val="nil"/>
          <w:between w:val="nil"/>
        </w:pBdr>
        <w:tabs>
          <w:tab w:val="left" w:pos="426"/>
          <w:tab w:val="left" w:pos="709"/>
          <w:tab w:val="left" w:pos="851"/>
        </w:tabs>
        <w:ind w:right="-1220" w:hanging="2"/>
        <w:jc w:val="center"/>
        <w:rPr>
          <w:rFonts w:ascii="Titillium" w:eastAsia="Titillium" w:hAnsi="Titillium" w:cs="Titillium"/>
          <w:b/>
          <w:bCs/>
          <w:sz w:val="21"/>
          <w:szCs w:val="21"/>
          <w:highlight w:val="white"/>
        </w:rPr>
      </w:pPr>
      <w:r w:rsidRPr="000E338E">
        <w:rPr>
          <w:rFonts w:ascii="Titillium" w:eastAsia="Titillium" w:hAnsi="Titillium" w:cs="Titillium"/>
          <w:b/>
          <w:bCs/>
          <w:sz w:val="21"/>
          <w:szCs w:val="21"/>
          <w:highlight w:val="white"/>
        </w:rPr>
        <w:t xml:space="preserve">Art.  11 </w:t>
      </w:r>
      <w:r w:rsidRPr="000E338E">
        <w:rPr>
          <w:rFonts w:ascii="Titillium" w:eastAsia="Titillium" w:hAnsi="Titillium" w:cs="Titillium"/>
          <w:b/>
          <w:bCs/>
          <w:sz w:val="21"/>
          <w:szCs w:val="21"/>
          <w:highlight w:val="white"/>
          <w:u w:val="single"/>
        </w:rPr>
        <w:t>Subappalto</w:t>
      </w:r>
    </w:p>
    <w:p w14:paraId="58E8AD64" w14:textId="77777777" w:rsidR="00E551BF" w:rsidRPr="000E338E" w:rsidRDefault="00AC5484">
      <w:pPr>
        <w:keepNext/>
        <w:widowControl w:val="0"/>
        <w:pBdr>
          <w:top w:val="nil"/>
          <w:left w:val="nil"/>
          <w:bottom w:val="nil"/>
          <w:right w:val="nil"/>
          <w:between w:val="nil"/>
        </w:pBdr>
        <w:tabs>
          <w:tab w:val="left" w:pos="426"/>
          <w:tab w:val="left" w:pos="709"/>
          <w:tab w:val="left" w:pos="851"/>
        </w:tabs>
        <w:ind w:right="-1220" w:hanging="2"/>
        <w:jc w:val="both"/>
        <w:rPr>
          <w:rFonts w:ascii="Titillium" w:eastAsia="Titillium" w:hAnsi="Titillium" w:cs="Titillium"/>
          <w:sz w:val="21"/>
          <w:szCs w:val="21"/>
        </w:rPr>
      </w:pPr>
      <w:r w:rsidRPr="000E338E">
        <w:rPr>
          <w:rFonts w:ascii="Titillium" w:eastAsia="Titillium" w:hAnsi="Titillium" w:cs="Titillium"/>
          <w:sz w:val="21"/>
          <w:szCs w:val="21"/>
        </w:rPr>
        <w:t>1. Il Contraente, conformemente a quanto dichiarato in sede di offerta non intende affidare in subappalto l'esecuzione di alcuna attività oggetto del contratto.</w:t>
      </w:r>
    </w:p>
    <w:p w14:paraId="7150B45F" w14:textId="77777777" w:rsidR="00E551BF" w:rsidRPr="000E338E" w:rsidRDefault="00AC5484">
      <w:pPr>
        <w:keepNext/>
        <w:widowControl w:val="0"/>
        <w:pBdr>
          <w:top w:val="nil"/>
          <w:left w:val="nil"/>
          <w:bottom w:val="nil"/>
          <w:right w:val="nil"/>
          <w:between w:val="nil"/>
        </w:pBdr>
        <w:tabs>
          <w:tab w:val="left" w:pos="426"/>
          <w:tab w:val="left" w:pos="709"/>
          <w:tab w:val="left" w:pos="851"/>
        </w:tabs>
        <w:ind w:right="-1220" w:hanging="2"/>
        <w:jc w:val="both"/>
        <w:rPr>
          <w:rFonts w:ascii="Titillium" w:eastAsia="Titillium" w:hAnsi="Titillium" w:cs="Titillium"/>
          <w:sz w:val="21"/>
          <w:szCs w:val="21"/>
        </w:rPr>
      </w:pPr>
      <w:r w:rsidRPr="000E338E">
        <w:rPr>
          <w:rFonts w:ascii="Titillium" w:eastAsia="Titillium" w:hAnsi="Titillium" w:cs="Titillium"/>
          <w:sz w:val="21"/>
          <w:szCs w:val="21"/>
        </w:rPr>
        <w:t xml:space="preserve"> ovvero </w:t>
      </w:r>
    </w:p>
    <w:p w14:paraId="40249D58" w14:textId="77777777" w:rsidR="00E551BF" w:rsidRPr="000E338E" w:rsidRDefault="00AC5484">
      <w:pPr>
        <w:keepNext/>
        <w:widowControl w:val="0"/>
        <w:pBdr>
          <w:top w:val="nil"/>
          <w:left w:val="nil"/>
          <w:bottom w:val="nil"/>
          <w:right w:val="nil"/>
          <w:between w:val="nil"/>
        </w:pBdr>
        <w:tabs>
          <w:tab w:val="left" w:pos="426"/>
          <w:tab w:val="left" w:pos="709"/>
          <w:tab w:val="left" w:pos="851"/>
        </w:tabs>
        <w:ind w:right="-1220" w:hanging="2"/>
        <w:jc w:val="both"/>
        <w:rPr>
          <w:rFonts w:ascii="Titillium" w:eastAsia="Titillium" w:hAnsi="Titillium" w:cs="Titillium"/>
          <w:sz w:val="21"/>
          <w:szCs w:val="21"/>
        </w:rPr>
      </w:pPr>
      <w:r w:rsidRPr="000E338E">
        <w:rPr>
          <w:rFonts w:ascii="Titillium" w:eastAsia="Titillium" w:hAnsi="Titillium" w:cs="Titillium"/>
          <w:sz w:val="21"/>
          <w:szCs w:val="21"/>
        </w:rPr>
        <w:t xml:space="preserve">1. Il Contraente, conformemente a quanto dichiarato in sede di offerta, affida in subappalto l'esecuzione delle seguenti prestazioni:  </w:t>
      </w:r>
    </w:p>
    <w:p w14:paraId="57B5041F" w14:textId="77777777" w:rsidR="00E551BF" w:rsidRPr="000E338E" w:rsidRDefault="00AC5484">
      <w:pPr>
        <w:keepNext/>
        <w:widowControl w:val="0"/>
        <w:pBdr>
          <w:top w:val="nil"/>
          <w:left w:val="nil"/>
          <w:bottom w:val="nil"/>
          <w:right w:val="nil"/>
          <w:between w:val="nil"/>
        </w:pBdr>
        <w:tabs>
          <w:tab w:val="left" w:pos="426"/>
          <w:tab w:val="left" w:pos="709"/>
          <w:tab w:val="left" w:pos="851"/>
        </w:tabs>
        <w:ind w:right="-1220" w:hanging="2"/>
        <w:jc w:val="both"/>
        <w:rPr>
          <w:rFonts w:ascii="Titillium" w:eastAsia="Titillium" w:hAnsi="Titillium" w:cs="Titillium"/>
          <w:sz w:val="21"/>
          <w:szCs w:val="21"/>
        </w:rPr>
      </w:pPr>
      <w:r w:rsidRPr="000E338E">
        <w:rPr>
          <w:rFonts w:ascii="Titillium" w:eastAsia="Titillium" w:hAnsi="Titillium" w:cs="Titillium"/>
          <w:sz w:val="21"/>
          <w:szCs w:val="21"/>
        </w:rPr>
        <w:t xml:space="preserve">    __________________</w:t>
      </w:r>
    </w:p>
    <w:p w14:paraId="566BFA38" w14:textId="77777777" w:rsidR="00E551BF" w:rsidRPr="000E338E" w:rsidRDefault="00AC5484">
      <w:pPr>
        <w:keepNext/>
        <w:widowControl w:val="0"/>
        <w:pBdr>
          <w:top w:val="nil"/>
          <w:left w:val="nil"/>
          <w:bottom w:val="nil"/>
          <w:right w:val="nil"/>
          <w:between w:val="nil"/>
        </w:pBdr>
        <w:tabs>
          <w:tab w:val="left" w:pos="426"/>
          <w:tab w:val="left" w:pos="709"/>
          <w:tab w:val="left" w:pos="851"/>
        </w:tabs>
        <w:ind w:right="-1220" w:hanging="2"/>
        <w:jc w:val="both"/>
        <w:rPr>
          <w:rFonts w:ascii="Titillium" w:eastAsia="Titillium" w:hAnsi="Titillium" w:cs="Titillium"/>
          <w:sz w:val="21"/>
          <w:szCs w:val="21"/>
        </w:rPr>
      </w:pPr>
      <w:r w:rsidRPr="000E338E">
        <w:rPr>
          <w:rFonts w:ascii="Titillium" w:eastAsia="Titillium" w:hAnsi="Titillium" w:cs="Titillium"/>
          <w:sz w:val="21"/>
          <w:szCs w:val="21"/>
        </w:rPr>
        <w:t xml:space="preserve">    __________________.</w:t>
      </w:r>
    </w:p>
    <w:p w14:paraId="076B11D6" w14:textId="77777777" w:rsidR="00E551BF" w:rsidRDefault="00AC5484">
      <w:pPr>
        <w:ind w:right="-1220" w:hanging="2"/>
        <w:jc w:val="both"/>
        <w:rPr>
          <w:rFonts w:ascii="Arial" w:eastAsia="Arial" w:hAnsi="Arial" w:cs="Arial"/>
        </w:rPr>
      </w:pPr>
      <w:r>
        <w:rPr>
          <w:rFonts w:ascii="Arial" w:eastAsia="Arial" w:hAnsi="Arial" w:cs="Arial"/>
        </w:rPr>
        <w:t xml:space="preserve">2. Per le prestazioni rese in subappalto, l’INAF provvederà a effettuare il relativo pagamento al Contraente, ad eccezione delle ipotesi indicate dall'art.119, comma 11, del Decreto Legislativo 36/2023. </w:t>
      </w:r>
    </w:p>
    <w:p w14:paraId="3197E9E7" w14:textId="77777777" w:rsidR="00E551BF" w:rsidRDefault="00AC5484">
      <w:pPr>
        <w:ind w:right="-1220" w:hanging="2"/>
        <w:jc w:val="both"/>
        <w:rPr>
          <w:rFonts w:ascii="Arial" w:eastAsia="Arial" w:hAnsi="Arial" w:cs="Arial"/>
        </w:rPr>
      </w:pPr>
      <w:r>
        <w:rPr>
          <w:rFonts w:ascii="Arial" w:eastAsia="Arial" w:hAnsi="Arial" w:cs="Arial"/>
        </w:rPr>
        <w:t xml:space="preserve">3. In caso di pagamenti effettuati al Contraente, quest'ultimo dovrà trasmettere all'INAF, entro 20 (venti) giorni dal relativo pagamento, copia delle fatture quietanzate. emesse dal/dagli subappaltatore/i. </w:t>
      </w:r>
    </w:p>
    <w:p w14:paraId="2BF50E5F" w14:textId="77777777" w:rsidR="00E551BF" w:rsidRDefault="00AC5484">
      <w:pPr>
        <w:ind w:right="-1220" w:hanging="2"/>
        <w:jc w:val="both"/>
        <w:rPr>
          <w:rFonts w:ascii="Arial" w:eastAsia="Arial" w:hAnsi="Arial" w:cs="Arial"/>
        </w:rPr>
      </w:pPr>
      <w:r>
        <w:rPr>
          <w:rFonts w:ascii="Arial" w:eastAsia="Arial" w:hAnsi="Arial" w:cs="Arial"/>
        </w:rPr>
        <w:t>4. Il Contraente è responsabile dei danni che dovessero derivare all'INAF o a terzi per fatti comunque imputabili ai soggetti cui sono state affidate le suddette attività.</w:t>
      </w:r>
    </w:p>
    <w:p w14:paraId="733528FA" w14:textId="77777777" w:rsidR="00E551BF" w:rsidRDefault="00AC5484">
      <w:pPr>
        <w:ind w:right="-1220" w:hanging="2"/>
        <w:jc w:val="both"/>
        <w:rPr>
          <w:rFonts w:ascii="Arial" w:eastAsia="Arial" w:hAnsi="Arial" w:cs="Arial"/>
        </w:rPr>
      </w:pPr>
      <w:r>
        <w:rPr>
          <w:rFonts w:ascii="Arial" w:eastAsia="Arial" w:hAnsi="Arial" w:cs="Arial"/>
        </w:rPr>
        <w:t xml:space="preserve">5. I subappaltatori dovranno mantenere, per tutta la durata del presente contratto, i requisiti prescritti dalla documentazione di gara, nonché dalla normativa vigente in materia, per lo svolgimento delle attività agli stessi affidate. </w:t>
      </w:r>
    </w:p>
    <w:p w14:paraId="5971F030" w14:textId="77777777" w:rsidR="00E551BF" w:rsidRDefault="00AC5484">
      <w:pPr>
        <w:ind w:right="-1220" w:hanging="2"/>
        <w:jc w:val="both"/>
        <w:rPr>
          <w:rFonts w:ascii="Arial" w:eastAsia="Arial" w:hAnsi="Arial" w:cs="Arial"/>
        </w:rPr>
      </w:pPr>
      <w:r>
        <w:rPr>
          <w:rFonts w:ascii="Arial" w:eastAsia="Arial" w:hAnsi="Arial" w:cs="Arial"/>
        </w:rPr>
        <w:lastRenderedPageBreak/>
        <w:t xml:space="preserve">6. Il Contraente trasmette all'INAF il contratto di subappalto almeno 20 (venti) giorni prima della data di effettivo inizio dell'esecuzione delle relative prestazioni. Il contratto di subappalto, corredato della documentazione tecnica e amministrativa direttamente derivata dagli atti del contratto affidato, indica puntualmente l'ambito operativo del subappalto sia in termini prestazionali che economici. </w:t>
      </w:r>
    </w:p>
    <w:p w14:paraId="03183489" w14:textId="77777777" w:rsidR="00E551BF" w:rsidRDefault="00AC5484">
      <w:pPr>
        <w:ind w:right="-1220" w:hanging="2"/>
        <w:jc w:val="both"/>
        <w:rPr>
          <w:rFonts w:ascii="Arial" w:eastAsia="Arial" w:hAnsi="Arial" w:cs="Arial"/>
        </w:rPr>
      </w:pPr>
      <w:r>
        <w:rPr>
          <w:rFonts w:ascii="Arial" w:eastAsia="Arial" w:hAnsi="Arial" w:cs="Arial"/>
        </w:rPr>
        <w:t xml:space="preserve">7. Nel caso in cui il Contraente, per l'esecuzione del presente appalto, stipuli sub-contratti che non configurano subappalto, deve comunicare all'INAF, prima dell'inizio della prestazione e per ciascuno dei sub-contratti, i seguenti dati:  </w:t>
      </w:r>
    </w:p>
    <w:p w14:paraId="52A4301A" w14:textId="77777777" w:rsidR="00E551BF" w:rsidRDefault="00AC5484">
      <w:pPr>
        <w:ind w:right="-1220" w:hanging="2"/>
        <w:jc w:val="both"/>
        <w:rPr>
          <w:rFonts w:ascii="Arial" w:eastAsia="Arial" w:hAnsi="Arial" w:cs="Arial"/>
        </w:rPr>
      </w:pPr>
      <w:r>
        <w:rPr>
          <w:rFonts w:ascii="Arial" w:eastAsia="Arial" w:hAnsi="Arial" w:cs="Arial"/>
        </w:rPr>
        <w:t xml:space="preserve">il nome del sub-contraente; </w:t>
      </w:r>
    </w:p>
    <w:p w14:paraId="7FD64876" w14:textId="77777777" w:rsidR="00E551BF" w:rsidRDefault="00AC5484">
      <w:pPr>
        <w:ind w:right="-1220" w:hanging="2"/>
        <w:jc w:val="both"/>
        <w:rPr>
          <w:rFonts w:ascii="Arial" w:eastAsia="Arial" w:hAnsi="Arial" w:cs="Arial"/>
        </w:rPr>
      </w:pPr>
      <w:r>
        <w:rPr>
          <w:rFonts w:ascii="Arial" w:eastAsia="Arial" w:hAnsi="Arial" w:cs="Arial"/>
        </w:rPr>
        <w:t>l'importo del sub-contratto;</w:t>
      </w:r>
    </w:p>
    <w:p w14:paraId="5AA6C0BD" w14:textId="77777777" w:rsidR="00E551BF" w:rsidRDefault="00AC5484">
      <w:pPr>
        <w:ind w:right="-1220" w:hanging="2"/>
        <w:jc w:val="both"/>
        <w:rPr>
          <w:rFonts w:ascii="Arial" w:eastAsia="Arial" w:hAnsi="Arial" w:cs="Arial"/>
        </w:rPr>
      </w:pPr>
      <w:r>
        <w:rPr>
          <w:rFonts w:ascii="Arial" w:eastAsia="Arial" w:hAnsi="Arial" w:cs="Arial"/>
        </w:rPr>
        <w:t xml:space="preserve">l'oggetto del lavoro, servizio o fornitura affidati. </w:t>
      </w:r>
    </w:p>
    <w:p w14:paraId="4A3D05D3" w14:textId="77777777" w:rsidR="00E551BF" w:rsidRDefault="00AC5484">
      <w:pPr>
        <w:ind w:right="-1220" w:hanging="2"/>
        <w:jc w:val="both"/>
        <w:rPr>
          <w:rFonts w:ascii="Arial" w:eastAsia="Arial" w:hAnsi="Arial" w:cs="Arial"/>
        </w:rPr>
      </w:pPr>
      <w:r>
        <w:rPr>
          <w:rFonts w:ascii="Arial" w:eastAsia="Arial" w:hAnsi="Arial" w:cs="Arial"/>
        </w:rPr>
        <w:t xml:space="preserve">8. Il Contraente deve inoltre comunicare all’INAF le eventuali modifiche di tali informazioni intervenute nel corso del sub-contratto. </w:t>
      </w:r>
    </w:p>
    <w:p w14:paraId="22155076" w14:textId="77777777" w:rsidR="00E551BF" w:rsidRDefault="00AC5484">
      <w:pPr>
        <w:ind w:right="-1220" w:firstLine="0"/>
        <w:jc w:val="both"/>
        <w:rPr>
          <w:rFonts w:ascii="Arial" w:eastAsia="Arial" w:hAnsi="Arial" w:cs="Arial"/>
        </w:rPr>
      </w:pPr>
      <w:r>
        <w:rPr>
          <w:rFonts w:ascii="Arial" w:eastAsia="Arial" w:hAnsi="Arial" w:cs="Arial"/>
        </w:rPr>
        <w:t xml:space="preserve">9. Il subappalto non comporta alcuna modificazione agli obblighi agli oneri del Contraente, il quale rimane l'unico e solo responsabile, nei confronti dell'INAF, della perfetta esecuzione del contratto anche per la parte subappaltata. Il Contraente è responsabile in solido con il subappaltatore in relazione agli obblighi retributivi e contributivi, nei modi e nei casi indicati al comma 7 dell'art. 119 del Decreto Legislativo 36/2023 </w:t>
      </w:r>
    </w:p>
    <w:p w14:paraId="26BC8C6B" w14:textId="77777777" w:rsidR="00E551BF" w:rsidRDefault="00AC5484">
      <w:pPr>
        <w:ind w:right="-1220" w:firstLine="0"/>
        <w:jc w:val="both"/>
        <w:rPr>
          <w:rFonts w:ascii="Arial" w:eastAsia="Arial" w:hAnsi="Arial" w:cs="Arial"/>
        </w:rPr>
      </w:pPr>
      <w:r>
        <w:rPr>
          <w:rFonts w:ascii="Arial" w:eastAsia="Arial" w:hAnsi="Arial" w:cs="Arial"/>
        </w:rPr>
        <w:t xml:space="preserve">10. Il Contraente si obbliga a manlevare e tenere indenne l'INAF da qualsivoglia pretesa di terzi per fatti e colpe imputabili al subappaltatore o ai suoi ausiliari. </w:t>
      </w:r>
    </w:p>
    <w:p w14:paraId="2A63BEA3" w14:textId="77777777" w:rsidR="00E551BF" w:rsidRDefault="00AC5484">
      <w:pPr>
        <w:ind w:right="-1220" w:firstLine="0"/>
        <w:jc w:val="both"/>
        <w:rPr>
          <w:rFonts w:ascii="Arial" w:eastAsia="Arial" w:hAnsi="Arial" w:cs="Arial"/>
        </w:rPr>
      </w:pPr>
      <w:r>
        <w:rPr>
          <w:rFonts w:ascii="Arial" w:eastAsia="Arial" w:hAnsi="Arial" w:cs="Arial"/>
        </w:rPr>
        <w:t xml:space="preserve">11. </w:t>
      </w:r>
      <w:proofErr w:type="spellStart"/>
      <w:r>
        <w:rPr>
          <w:rFonts w:ascii="Arial" w:eastAsia="Arial" w:hAnsi="Arial" w:cs="Arial"/>
        </w:rPr>
        <w:t>ll</w:t>
      </w:r>
      <w:proofErr w:type="spellEnd"/>
      <w:r>
        <w:rPr>
          <w:rFonts w:ascii="Arial" w:eastAsia="Arial" w:hAnsi="Arial" w:cs="Arial"/>
        </w:rPr>
        <w:t xml:space="preserve"> Contraente si obbliga a risolvere tempestivamente il contratto di subappalto qualora, durante l'esecuzione dello stesso, vengano accertati dall'INAF inadempimenti, da parte del subappaltatore, di rilevanza tale da giustificare la risoluzione, avuto riguardo all'interesse dell'INAF. In tal caso il Contraente non avrà diritto ad alcun indennizzo da parte dell'INAF, né al differimento dei termini di esecuzione del contratto. </w:t>
      </w:r>
    </w:p>
    <w:p w14:paraId="4F953DEB" w14:textId="77777777" w:rsidR="00E551BF" w:rsidRDefault="00AC5484">
      <w:pPr>
        <w:ind w:right="-1220" w:firstLine="0"/>
        <w:jc w:val="both"/>
        <w:rPr>
          <w:rFonts w:ascii="Arial" w:eastAsia="Arial" w:hAnsi="Arial" w:cs="Arial"/>
        </w:rPr>
      </w:pPr>
      <w:r>
        <w:rPr>
          <w:rFonts w:ascii="Arial" w:eastAsia="Arial" w:hAnsi="Arial" w:cs="Arial"/>
        </w:rPr>
        <w:t>12. In caso di inadempimento da parte del Contraente agli obblighi di cui ai precedenti commi, l'INAF può risolvere il contratto, salvo il diritto al risarcimento del danno.</w:t>
      </w:r>
    </w:p>
    <w:p w14:paraId="2B753DE2" w14:textId="77777777" w:rsidR="00E551BF" w:rsidRDefault="00AC5484">
      <w:pPr>
        <w:ind w:right="-1220" w:firstLine="0"/>
        <w:jc w:val="both"/>
        <w:rPr>
          <w:rFonts w:ascii="Arial" w:eastAsia="Arial" w:hAnsi="Arial" w:cs="Arial"/>
        </w:rPr>
      </w:pPr>
      <w:r>
        <w:rPr>
          <w:rFonts w:ascii="Arial" w:eastAsia="Arial" w:hAnsi="Arial" w:cs="Arial"/>
        </w:rPr>
        <w:t xml:space="preserve">13. Il Contraente deve provvedere a sostituire i subappaltatori relativamente ai quali apposita verifica abbia dimostrato la sussistenza dei motivi di esclusione di cui agli artt. 94-98 del d.lgs. 36/ 2023. </w:t>
      </w:r>
    </w:p>
    <w:p w14:paraId="4BD3D4F4" w14:textId="77777777" w:rsidR="00E551BF" w:rsidRDefault="00AC5484">
      <w:pPr>
        <w:ind w:right="-1220" w:firstLine="0"/>
        <w:jc w:val="both"/>
        <w:rPr>
          <w:rFonts w:ascii="Arial" w:eastAsia="Arial" w:hAnsi="Arial" w:cs="Arial"/>
        </w:rPr>
      </w:pPr>
      <w:r>
        <w:rPr>
          <w:rFonts w:ascii="Arial" w:eastAsia="Arial" w:hAnsi="Arial" w:cs="Arial"/>
        </w:rPr>
        <w:t xml:space="preserve">14. Per tutto quanto non previsto nel presente atto si applicano le disposizioni di cui all'art. 119 del Codice. </w:t>
      </w:r>
    </w:p>
    <w:p w14:paraId="189D63EB" w14:textId="77777777" w:rsidR="00E551BF" w:rsidRDefault="00E551BF">
      <w:pPr>
        <w:keepNext/>
        <w:widowControl w:val="0"/>
        <w:pBdr>
          <w:top w:val="nil"/>
          <w:left w:val="nil"/>
          <w:bottom w:val="nil"/>
          <w:right w:val="nil"/>
          <w:between w:val="nil"/>
        </w:pBdr>
        <w:tabs>
          <w:tab w:val="left" w:pos="426"/>
          <w:tab w:val="left" w:pos="709"/>
          <w:tab w:val="left" w:pos="851"/>
        </w:tabs>
        <w:ind w:right="-1220" w:hanging="2"/>
        <w:jc w:val="both"/>
        <w:rPr>
          <w:rFonts w:ascii="Titillium" w:eastAsia="Titillium" w:hAnsi="Titillium" w:cs="Titillium"/>
          <w:color w:val="EE0000"/>
          <w:sz w:val="21"/>
          <w:szCs w:val="21"/>
        </w:rPr>
      </w:pPr>
    </w:p>
    <w:p w14:paraId="690EE897" w14:textId="77777777" w:rsidR="00E551BF" w:rsidRDefault="00E551BF">
      <w:pPr>
        <w:keepNext/>
        <w:widowControl w:val="0"/>
        <w:pBdr>
          <w:top w:val="nil"/>
          <w:left w:val="nil"/>
          <w:bottom w:val="nil"/>
          <w:right w:val="nil"/>
          <w:between w:val="nil"/>
        </w:pBdr>
        <w:tabs>
          <w:tab w:val="left" w:pos="426"/>
          <w:tab w:val="left" w:pos="709"/>
          <w:tab w:val="left" w:pos="851"/>
        </w:tabs>
        <w:ind w:right="-1220" w:hanging="2"/>
        <w:jc w:val="both"/>
        <w:rPr>
          <w:rFonts w:ascii="Titillium" w:eastAsia="Titillium" w:hAnsi="Titillium" w:cs="Titillium"/>
          <w:b/>
          <w:bCs/>
          <w:color w:val="C00000"/>
          <w:sz w:val="21"/>
          <w:szCs w:val="21"/>
          <w:highlight w:val="white"/>
        </w:rPr>
      </w:pPr>
    </w:p>
    <w:p w14:paraId="7BFDC7DC" w14:textId="77777777" w:rsidR="00E551BF" w:rsidRDefault="00AC5484">
      <w:pPr>
        <w:keepNext/>
        <w:widowControl w:val="0"/>
        <w:pBdr>
          <w:top w:val="nil"/>
          <w:left w:val="nil"/>
          <w:bottom w:val="nil"/>
          <w:right w:val="nil"/>
          <w:between w:val="nil"/>
        </w:pBdr>
        <w:tabs>
          <w:tab w:val="left" w:pos="426"/>
        </w:tabs>
        <w:ind w:right="-1220" w:hanging="2"/>
        <w:jc w:val="center"/>
        <w:rPr>
          <w:rFonts w:ascii="Titillium" w:eastAsia="Titillium" w:hAnsi="Titillium" w:cs="Titillium"/>
          <w:b/>
          <w:bCs/>
          <w:color w:val="000000"/>
          <w:sz w:val="21"/>
          <w:szCs w:val="21"/>
          <w:highlight w:val="white"/>
        </w:rPr>
      </w:pPr>
      <w:r>
        <w:rPr>
          <w:rFonts w:ascii="Titillium" w:eastAsia="Titillium" w:hAnsi="Titillium" w:cs="Titillium"/>
          <w:b/>
          <w:bCs/>
          <w:color w:val="000000"/>
          <w:sz w:val="21"/>
          <w:szCs w:val="21"/>
          <w:highlight w:val="white"/>
        </w:rPr>
        <w:t xml:space="preserve">Art. </w:t>
      </w:r>
      <w:proofErr w:type="gramStart"/>
      <w:r>
        <w:rPr>
          <w:rFonts w:ascii="Titillium" w:eastAsia="Titillium" w:hAnsi="Titillium" w:cs="Titillium"/>
          <w:b/>
          <w:bCs/>
          <w:color w:val="000000"/>
          <w:sz w:val="21"/>
          <w:szCs w:val="21"/>
          <w:highlight w:val="white"/>
        </w:rPr>
        <w:t xml:space="preserve">12  </w:t>
      </w:r>
      <w:r>
        <w:rPr>
          <w:rFonts w:ascii="Titillium" w:eastAsia="Titillium" w:hAnsi="Titillium" w:cs="Titillium"/>
          <w:b/>
          <w:bCs/>
          <w:color w:val="000000"/>
          <w:sz w:val="21"/>
          <w:szCs w:val="21"/>
          <w:highlight w:val="white"/>
          <w:u w:val="single"/>
        </w:rPr>
        <w:t>Cessione</w:t>
      </w:r>
      <w:proofErr w:type="gramEnd"/>
      <w:r>
        <w:rPr>
          <w:rFonts w:ascii="Titillium" w:eastAsia="Titillium" w:hAnsi="Titillium" w:cs="Titillium"/>
          <w:b/>
          <w:bCs/>
          <w:color w:val="000000"/>
          <w:sz w:val="21"/>
          <w:szCs w:val="21"/>
          <w:highlight w:val="white"/>
          <w:u w:val="single"/>
        </w:rPr>
        <w:t xml:space="preserve"> del Contratto</w:t>
      </w:r>
    </w:p>
    <w:p w14:paraId="51E94F69" w14:textId="77777777" w:rsidR="00E551BF" w:rsidRDefault="00AC5484">
      <w:pPr>
        <w:keepNext/>
        <w:widowControl w:val="0"/>
        <w:pBdr>
          <w:top w:val="nil"/>
          <w:left w:val="nil"/>
          <w:bottom w:val="nil"/>
          <w:right w:val="nil"/>
          <w:between w:val="nil"/>
        </w:pBdr>
        <w:tabs>
          <w:tab w:val="left" w:pos="426"/>
        </w:tabs>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È fatto divieto all'IMPRESA di cedere, a qualsiasi titolo, il Contratto pena la nullità della cessione medesima. </w:t>
      </w:r>
    </w:p>
    <w:p w14:paraId="7E985F29" w14:textId="77777777" w:rsidR="00E551BF" w:rsidRDefault="00E551BF">
      <w:pPr>
        <w:keepNext/>
        <w:widowControl w:val="0"/>
        <w:pBdr>
          <w:top w:val="nil"/>
          <w:left w:val="nil"/>
          <w:bottom w:val="nil"/>
          <w:right w:val="nil"/>
          <w:between w:val="nil"/>
        </w:pBdr>
        <w:tabs>
          <w:tab w:val="left" w:pos="426"/>
        </w:tabs>
        <w:ind w:right="-1220" w:hanging="2"/>
        <w:jc w:val="both"/>
        <w:rPr>
          <w:rFonts w:ascii="Titillium" w:eastAsia="Titillium" w:hAnsi="Titillium" w:cs="Titillium"/>
          <w:sz w:val="21"/>
          <w:szCs w:val="21"/>
          <w:highlight w:val="white"/>
        </w:rPr>
      </w:pPr>
    </w:p>
    <w:p w14:paraId="368796F0" w14:textId="77777777" w:rsidR="00E551BF" w:rsidRDefault="00AC5484">
      <w:pPr>
        <w:pBdr>
          <w:top w:val="nil"/>
          <w:left w:val="nil"/>
          <w:bottom w:val="nil"/>
          <w:right w:val="nil"/>
          <w:between w:val="nil"/>
        </w:pBdr>
        <w:tabs>
          <w:tab w:val="left" w:pos="284"/>
        </w:tabs>
        <w:ind w:right="-1220" w:hanging="2"/>
        <w:jc w:val="center"/>
        <w:rPr>
          <w:rFonts w:ascii="Titillium" w:eastAsia="Titillium" w:hAnsi="Titillium" w:cs="Titillium"/>
          <w:b/>
          <w:bCs/>
          <w:color w:val="000000"/>
          <w:sz w:val="21"/>
          <w:szCs w:val="21"/>
          <w:highlight w:val="white"/>
        </w:rPr>
      </w:pPr>
      <w:r>
        <w:rPr>
          <w:rFonts w:ascii="Titillium" w:eastAsia="Titillium" w:hAnsi="Titillium" w:cs="Titillium"/>
          <w:b/>
          <w:bCs/>
          <w:color w:val="000000"/>
          <w:sz w:val="21"/>
          <w:szCs w:val="21"/>
          <w:highlight w:val="white"/>
        </w:rPr>
        <w:t xml:space="preserve">Art. 13 </w:t>
      </w:r>
      <w:r>
        <w:rPr>
          <w:rFonts w:ascii="Titillium" w:eastAsia="Titillium" w:hAnsi="Titillium" w:cs="Titillium"/>
          <w:b/>
          <w:bCs/>
          <w:color w:val="000000"/>
          <w:sz w:val="21"/>
          <w:szCs w:val="21"/>
          <w:highlight w:val="white"/>
          <w:u w:val="single"/>
        </w:rPr>
        <w:t>Penali</w:t>
      </w:r>
      <w:r>
        <w:rPr>
          <w:rFonts w:ascii="Titillium" w:eastAsia="Titillium" w:hAnsi="Titillium" w:cs="Titillium"/>
          <w:b/>
          <w:bCs/>
          <w:color w:val="000000"/>
          <w:sz w:val="21"/>
          <w:szCs w:val="21"/>
          <w:highlight w:val="white"/>
        </w:rPr>
        <w:t xml:space="preserve"> </w:t>
      </w:r>
    </w:p>
    <w:p w14:paraId="0AB65686" w14:textId="77777777" w:rsidR="00E551BF" w:rsidRDefault="00AC5484">
      <w:pPr>
        <w:pBdr>
          <w:top w:val="nil"/>
          <w:left w:val="nil"/>
          <w:bottom w:val="nil"/>
          <w:right w:val="nil"/>
          <w:between w:val="nil"/>
        </w:pBdr>
        <w:tabs>
          <w:tab w:val="left" w:pos="284"/>
        </w:tabs>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Per ogni giorno solare di ritardo nell’esecuzione del presente appalto si applicherà una penale pari all’1,0‰ (uno ‰) dell’importo contrattuale al netto dell’IVA, e non potranno comunque superare, complessivamente, il 10 per cento di detto ammontare netto contrattuale (Art. 126, comma 1, del D. </w:t>
      </w:r>
      <w:proofErr w:type="spellStart"/>
      <w:r>
        <w:rPr>
          <w:rFonts w:ascii="Titillium" w:eastAsia="Titillium" w:hAnsi="Titillium" w:cs="Titillium"/>
          <w:color w:val="000000"/>
          <w:sz w:val="21"/>
          <w:szCs w:val="21"/>
          <w:highlight w:val="white"/>
        </w:rPr>
        <w:t>Leg.vo</w:t>
      </w:r>
      <w:proofErr w:type="spellEnd"/>
      <w:r>
        <w:rPr>
          <w:rFonts w:ascii="Titillium" w:eastAsia="Titillium" w:hAnsi="Titillium" w:cs="Titillium"/>
          <w:color w:val="000000"/>
          <w:sz w:val="21"/>
          <w:szCs w:val="21"/>
          <w:highlight w:val="white"/>
        </w:rPr>
        <w:t xml:space="preserve"> 36/2023).</w:t>
      </w:r>
    </w:p>
    <w:p w14:paraId="10220449" w14:textId="77777777" w:rsidR="00E551BF" w:rsidRDefault="00AC5484">
      <w:pPr>
        <w:pBdr>
          <w:top w:val="nil"/>
          <w:left w:val="nil"/>
          <w:bottom w:val="nil"/>
          <w:right w:val="nil"/>
          <w:between w:val="nil"/>
        </w:pBdr>
        <w:tabs>
          <w:tab w:val="left" w:pos="284"/>
        </w:tabs>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L'applicazione delle penali non preclude all’INAF il diritto di agire per il risarcimento degli eventuali maggiori danni o per l'eventuale risoluzione del Contratto, se l'ammontare delle penali dovesse raggiungere l'importo della garanzia fideiussoria definitiva.</w:t>
      </w:r>
    </w:p>
    <w:p w14:paraId="040B2171" w14:textId="77777777" w:rsidR="00E551BF" w:rsidRDefault="00E551BF">
      <w:pPr>
        <w:pBdr>
          <w:top w:val="nil"/>
          <w:left w:val="nil"/>
          <w:bottom w:val="nil"/>
          <w:right w:val="nil"/>
          <w:between w:val="nil"/>
        </w:pBdr>
        <w:tabs>
          <w:tab w:val="left" w:pos="284"/>
        </w:tabs>
        <w:ind w:right="-1220" w:hanging="2"/>
        <w:jc w:val="both"/>
        <w:rPr>
          <w:rFonts w:ascii="Titillium" w:eastAsia="Titillium" w:hAnsi="Titillium" w:cs="Titillium"/>
          <w:color w:val="000000"/>
          <w:sz w:val="21"/>
          <w:szCs w:val="21"/>
          <w:highlight w:val="white"/>
        </w:rPr>
      </w:pPr>
    </w:p>
    <w:p w14:paraId="3A0E9304" w14:textId="77777777" w:rsidR="00E551BF" w:rsidRDefault="00E551BF">
      <w:pPr>
        <w:pBdr>
          <w:top w:val="nil"/>
          <w:left w:val="nil"/>
          <w:bottom w:val="nil"/>
          <w:right w:val="nil"/>
          <w:between w:val="nil"/>
        </w:pBdr>
        <w:tabs>
          <w:tab w:val="left" w:pos="284"/>
        </w:tabs>
        <w:ind w:right="-1220" w:hanging="2"/>
        <w:jc w:val="both"/>
        <w:rPr>
          <w:rFonts w:ascii="Titillium" w:eastAsia="Titillium" w:hAnsi="Titillium" w:cs="Titillium"/>
          <w:color w:val="000000"/>
          <w:sz w:val="21"/>
          <w:szCs w:val="21"/>
          <w:highlight w:val="white"/>
        </w:rPr>
      </w:pPr>
    </w:p>
    <w:p w14:paraId="5C2AC550" w14:textId="77777777" w:rsidR="00E551BF" w:rsidRDefault="00AC5484">
      <w:pPr>
        <w:widowControl w:val="0"/>
        <w:pBdr>
          <w:top w:val="nil"/>
          <w:left w:val="nil"/>
          <w:bottom w:val="nil"/>
          <w:right w:val="nil"/>
          <w:between w:val="nil"/>
        </w:pBdr>
        <w:tabs>
          <w:tab w:val="left" w:pos="426"/>
        </w:tabs>
        <w:ind w:right="-1220" w:hanging="2"/>
        <w:jc w:val="center"/>
        <w:rPr>
          <w:rFonts w:ascii="Titillium" w:eastAsia="Titillium" w:hAnsi="Titillium" w:cs="Titillium"/>
          <w:b/>
          <w:bCs/>
          <w:color w:val="000000"/>
          <w:sz w:val="21"/>
          <w:szCs w:val="21"/>
          <w:highlight w:val="white"/>
        </w:rPr>
      </w:pPr>
      <w:r>
        <w:rPr>
          <w:rFonts w:ascii="Titillium" w:eastAsia="Titillium" w:hAnsi="Titillium" w:cs="Titillium"/>
          <w:b/>
          <w:bCs/>
          <w:color w:val="000000"/>
          <w:sz w:val="21"/>
          <w:szCs w:val="21"/>
          <w:highlight w:val="white"/>
        </w:rPr>
        <w:t xml:space="preserve">Art.  14 </w:t>
      </w:r>
      <w:r>
        <w:rPr>
          <w:rFonts w:ascii="Titillium" w:eastAsia="Titillium" w:hAnsi="Titillium" w:cs="Titillium"/>
          <w:b/>
          <w:bCs/>
          <w:color w:val="000000"/>
          <w:sz w:val="21"/>
          <w:szCs w:val="21"/>
          <w:highlight w:val="white"/>
          <w:u w:val="single"/>
        </w:rPr>
        <w:t>Verifica di conformità, fatturazione e pagamenti</w:t>
      </w:r>
    </w:p>
    <w:p w14:paraId="6FE06520" w14:textId="77777777" w:rsidR="00E551BF" w:rsidRDefault="00E551BF">
      <w:pPr>
        <w:widowControl w:val="0"/>
        <w:pBdr>
          <w:top w:val="nil"/>
          <w:left w:val="nil"/>
          <w:bottom w:val="nil"/>
          <w:right w:val="nil"/>
          <w:between w:val="nil"/>
        </w:pBdr>
        <w:tabs>
          <w:tab w:val="left" w:pos="426"/>
        </w:tabs>
        <w:ind w:right="-1220" w:hanging="2"/>
        <w:jc w:val="center"/>
        <w:rPr>
          <w:rFonts w:ascii="Titillium" w:eastAsia="Titillium" w:hAnsi="Titillium" w:cs="Titillium"/>
          <w:color w:val="000000"/>
          <w:sz w:val="21"/>
          <w:szCs w:val="21"/>
          <w:highlight w:val="white"/>
        </w:rPr>
      </w:pPr>
    </w:p>
    <w:p w14:paraId="0E947F61" w14:textId="77777777" w:rsidR="00E551BF" w:rsidRDefault="00AC5484">
      <w:pPr>
        <w:widowControl w:val="0"/>
        <w:pBdr>
          <w:top w:val="nil"/>
          <w:left w:val="nil"/>
          <w:bottom w:val="nil"/>
          <w:right w:val="nil"/>
          <w:between w:val="nil"/>
        </w:pBdr>
        <w:tabs>
          <w:tab w:val="left" w:pos="426"/>
        </w:tabs>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La verifica finale della conformità della fornitura resa sarà effettuata a cura del Direttore della Corretta Esecuzione, entro 10 (dieci) giorni dalla data di consegna dei prodotti.</w:t>
      </w:r>
    </w:p>
    <w:p w14:paraId="71E75E5D" w14:textId="77777777" w:rsidR="00E551BF" w:rsidRDefault="00AC5484">
      <w:pPr>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Qualora tale verifica dia esito positivo, l’IMPRESA sarà autorizzata per iscritto da parte del Responsabile Unico del Procedimento, che avrà rilasciato il relativo certificato di pagamento, ad emettere fattura in formato elettronico. L’INAF provvederà al pagamento del corrispettivo, dietro il previo invio di regolare fattura da parte dell’impresa</w:t>
      </w:r>
      <w:r>
        <w:rPr>
          <w:rFonts w:ascii="Titillium" w:eastAsia="Titillium" w:hAnsi="Titillium" w:cs="Titillium"/>
          <w:b/>
          <w:bCs/>
          <w:color w:val="C00000"/>
          <w:sz w:val="21"/>
          <w:szCs w:val="21"/>
          <w:highlight w:val="white"/>
        </w:rPr>
        <w:t xml:space="preserve">. </w:t>
      </w:r>
      <w:r>
        <w:rPr>
          <w:rFonts w:ascii="Titillium" w:eastAsia="Titillium" w:hAnsi="Titillium" w:cs="Titillium"/>
          <w:color w:val="000000"/>
          <w:sz w:val="21"/>
          <w:szCs w:val="21"/>
          <w:highlight w:val="white"/>
        </w:rPr>
        <w:t>Tutte le fatture dovranno essere trasmesse tramite il Sistema di Interscambio (</w:t>
      </w:r>
      <w:proofErr w:type="spellStart"/>
      <w:r>
        <w:rPr>
          <w:rFonts w:ascii="Titillium" w:eastAsia="Titillium" w:hAnsi="Titillium" w:cs="Titillium"/>
          <w:color w:val="000000"/>
          <w:sz w:val="21"/>
          <w:szCs w:val="21"/>
          <w:highlight w:val="white"/>
        </w:rPr>
        <w:t>SdI</w:t>
      </w:r>
      <w:proofErr w:type="spellEnd"/>
      <w:r>
        <w:rPr>
          <w:rFonts w:ascii="Titillium" w:eastAsia="Titillium" w:hAnsi="Titillium" w:cs="Titillium"/>
          <w:color w:val="000000"/>
          <w:sz w:val="21"/>
          <w:szCs w:val="21"/>
          <w:highlight w:val="white"/>
        </w:rPr>
        <w:t xml:space="preserve">) dell’Agenzia delle Entrate, utilizzando il Codice Univoco Ufficio (CUU): </w:t>
      </w:r>
      <w:r>
        <w:rPr>
          <w:rFonts w:ascii="Titillium" w:eastAsia="Titillium" w:hAnsi="Titillium" w:cs="Titillium"/>
          <w:b/>
          <w:bCs/>
          <w:color w:val="000000"/>
          <w:sz w:val="21"/>
          <w:szCs w:val="21"/>
          <w:highlight w:val="white"/>
        </w:rPr>
        <w:t>K9NBBG</w:t>
      </w:r>
      <w:r>
        <w:rPr>
          <w:rFonts w:ascii="Titillium" w:eastAsia="Titillium" w:hAnsi="Titillium" w:cs="Titillium"/>
          <w:color w:val="000000"/>
          <w:sz w:val="21"/>
          <w:szCs w:val="21"/>
          <w:highlight w:val="white"/>
        </w:rPr>
        <w:t xml:space="preserve"> e riportando nel Campo Esigibilità IVA la lettera “S”. Il pagamento del corrispettivo </w:t>
      </w:r>
      <w:r>
        <w:rPr>
          <w:rFonts w:ascii="Titillium" w:eastAsia="Titillium" w:hAnsi="Titillium" w:cs="Titillium"/>
          <w:color w:val="000000"/>
          <w:sz w:val="21"/>
          <w:szCs w:val="21"/>
          <w:highlight w:val="white"/>
        </w:rPr>
        <w:lastRenderedPageBreak/>
        <w:t xml:space="preserve">sarà effettuato, mediante bonifico bancario su conto corrente dedicato, anche in via non esclusiva, alle commesse pubbliche che l’IMPRESA provvederà ad indicare ad INAF entro 7 (sette) giorni dalla data della sua accensione. L’IMPRESA dovrà inoltre comunicare </w:t>
      </w:r>
      <w:r>
        <w:rPr>
          <w:rFonts w:ascii="Titillium" w:eastAsia="Titillium" w:hAnsi="Titillium" w:cs="Titillium"/>
          <w:color w:val="000000"/>
          <w:sz w:val="21"/>
          <w:szCs w:val="21"/>
          <w:highlight w:val="white"/>
        </w:rPr>
        <w:t xml:space="preserve">entro lo stesso termine le generalità e il codice fiscale delle persone delegate ad operare su di esso. Ai sensi della legge numero 136/2010 e successive modifiche ed integrazioni, l’IMPRESA si </w:t>
      </w:r>
      <w:proofErr w:type="gramStart"/>
      <w:r>
        <w:rPr>
          <w:rFonts w:ascii="Titillium" w:eastAsia="Titillium" w:hAnsi="Titillium" w:cs="Titillium"/>
          <w:color w:val="000000"/>
          <w:sz w:val="21"/>
          <w:szCs w:val="21"/>
          <w:highlight w:val="white"/>
        </w:rPr>
        <w:t xml:space="preserve">obbliga, </w:t>
      </w:r>
      <w:r>
        <w:rPr>
          <w:rFonts w:ascii="Titillium" w:eastAsia="Titillium" w:hAnsi="Titillium" w:cs="Titillium"/>
          <w:b/>
          <w:bCs/>
          <w:color w:val="C00000"/>
          <w:sz w:val="21"/>
          <w:szCs w:val="21"/>
          <w:highlight w:val="white"/>
        </w:rPr>
        <w:t xml:space="preserve"> </w:t>
      </w:r>
      <w:r>
        <w:rPr>
          <w:rFonts w:ascii="Titillium" w:eastAsia="Titillium" w:hAnsi="Titillium" w:cs="Titillium"/>
          <w:color w:val="000000"/>
          <w:sz w:val="21"/>
          <w:szCs w:val="21"/>
          <w:highlight w:val="white"/>
        </w:rPr>
        <w:t>a</w:t>
      </w:r>
      <w:proofErr w:type="gramEnd"/>
      <w:r>
        <w:rPr>
          <w:rFonts w:ascii="Titillium" w:eastAsia="Titillium" w:hAnsi="Titillium" w:cs="Titillium"/>
          <w:color w:val="000000"/>
          <w:sz w:val="21"/>
          <w:szCs w:val="21"/>
          <w:highlight w:val="white"/>
        </w:rPr>
        <w:t xml:space="preserve"> garantire la tracciabilità dei flussi finanziari relativi al presente appalto (</w:t>
      </w:r>
      <w:r>
        <w:rPr>
          <w:rFonts w:ascii="Titillium" w:eastAsia="Titillium" w:hAnsi="Titillium" w:cs="Titillium"/>
          <w:b/>
          <w:bCs/>
          <w:color w:val="000000"/>
          <w:sz w:val="21"/>
          <w:szCs w:val="21"/>
          <w:highlight w:val="white"/>
        </w:rPr>
        <w:t xml:space="preserve">CIG </w:t>
      </w:r>
      <w:proofErr w:type="spellStart"/>
      <w:r>
        <w:rPr>
          <w:rFonts w:ascii="Titillium" w:eastAsia="Titillium" w:hAnsi="Titillium" w:cs="Titillium"/>
          <w:b/>
          <w:bCs/>
          <w:color w:val="FF0000"/>
          <w:sz w:val="21"/>
          <w:szCs w:val="21"/>
          <w:highlight w:val="white"/>
        </w:rPr>
        <w:t>xxxxxxxxxxxxxxxxx</w:t>
      </w:r>
      <w:proofErr w:type="spellEnd"/>
      <w:r>
        <w:rPr>
          <w:rFonts w:ascii="Titillium" w:eastAsia="Titillium" w:hAnsi="Titillium" w:cs="Titillium"/>
          <w:b/>
          <w:bCs/>
          <w:color w:val="FF0000"/>
          <w:sz w:val="21"/>
          <w:szCs w:val="21"/>
          <w:highlight w:val="white"/>
        </w:rPr>
        <w:t xml:space="preserve"> </w:t>
      </w:r>
      <w:r>
        <w:rPr>
          <w:rFonts w:ascii="Titillium" w:eastAsia="Titillium" w:hAnsi="Titillium" w:cs="Titillium"/>
          <w:b/>
          <w:bCs/>
          <w:color w:val="000000"/>
          <w:sz w:val="21"/>
          <w:szCs w:val="21"/>
          <w:highlight w:val="white"/>
        </w:rPr>
        <w:t xml:space="preserve">e CUP </w:t>
      </w:r>
      <w:proofErr w:type="spellStart"/>
      <w:r>
        <w:rPr>
          <w:rFonts w:ascii="Titillium" w:eastAsia="Titillium" w:hAnsi="Titillium" w:cs="Titillium"/>
          <w:b/>
          <w:bCs/>
          <w:color w:val="FF0000"/>
          <w:sz w:val="21"/>
          <w:szCs w:val="21"/>
          <w:highlight w:val="white"/>
        </w:rPr>
        <w:t>xxxxxxxxxxxx</w:t>
      </w:r>
      <w:proofErr w:type="spellEnd"/>
      <w:r>
        <w:rPr>
          <w:rFonts w:ascii="Titillium" w:eastAsia="Titillium" w:hAnsi="Titillium" w:cs="Titillium"/>
          <w:color w:val="000000"/>
          <w:sz w:val="21"/>
          <w:szCs w:val="21"/>
          <w:highlight w:val="white"/>
        </w:rPr>
        <w:t xml:space="preserve">), pena la risoluzione del contratto. Il pagamento sarà subordinato alla verifica d’ufficio della regolarità contributiva dell’IMPRESA nonché, alle verifiche previste dall’art. 48 bis del d.P.R. numero 602/1973 e successive modifiche ed integrazioni, da parte di INAF. L’IMPRESA si impegna a comunicare tempestivamente all’INAF le eventuali variazioni delle coordinate bancarie, esonerando l’INAF in difetto di tale notifica, da ogni responsabilità per i pagamenti eseguiti, anche ove le </w:t>
      </w:r>
      <w:proofErr w:type="gramStart"/>
      <w:r>
        <w:rPr>
          <w:rFonts w:ascii="Titillium" w:eastAsia="Titillium" w:hAnsi="Titillium" w:cs="Titillium"/>
          <w:color w:val="000000"/>
          <w:sz w:val="21"/>
          <w:szCs w:val="21"/>
          <w:highlight w:val="white"/>
        </w:rPr>
        <w:t>predette</w:t>
      </w:r>
      <w:proofErr w:type="gramEnd"/>
      <w:r>
        <w:rPr>
          <w:rFonts w:ascii="Titillium" w:eastAsia="Titillium" w:hAnsi="Titillium" w:cs="Titillium"/>
          <w:color w:val="000000"/>
          <w:sz w:val="21"/>
          <w:szCs w:val="21"/>
          <w:highlight w:val="white"/>
        </w:rPr>
        <w:t xml:space="preserve"> variazioni sian</w:t>
      </w:r>
      <w:r>
        <w:rPr>
          <w:rFonts w:ascii="Titillium" w:eastAsia="Titillium" w:hAnsi="Titillium" w:cs="Titillium"/>
          <w:color w:val="000000"/>
          <w:sz w:val="21"/>
          <w:szCs w:val="21"/>
          <w:highlight w:val="white"/>
        </w:rPr>
        <w:t xml:space="preserve">o pubblicate nei modi di legge. </w:t>
      </w:r>
    </w:p>
    <w:p w14:paraId="541C037B" w14:textId="77777777" w:rsidR="00E551BF" w:rsidRDefault="00E551BF">
      <w:pPr>
        <w:widowControl w:val="0"/>
        <w:pBdr>
          <w:top w:val="nil"/>
          <w:left w:val="nil"/>
          <w:bottom w:val="nil"/>
          <w:right w:val="nil"/>
          <w:between w:val="nil"/>
        </w:pBdr>
        <w:tabs>
          <w:tab w:val="left" w:pos="426"/>
        </w:tabs>
        <w:ind w:right="-1220" w:hanging="2"/>
        <w:jc w:val="both"/>
        <w:rPr>
          <w:rFonts w:ascii="Titillium" w:eastAsia="Titillium" w:hAnsi="Titillium" w:cs="Titillium"/>
          <w:sz w:val="21"/>
          <w:szCs w:val="21"/>
          <w:highlight w:val="white"/>
        </w:rPr>
      </w:pPr>
    </w:p>
    <w:p w14:paraId="51BE5C86" w14:textId="77777777" w:rsidR="00E551BF" w:rsidRDefault="00AC5484">
      <w:pPr>
        <w:pBdr>
          <w:top w:val="nil"/>
          <w:left w:val="nil"/>
          <w:bottom w:val="nil"/>
          <w:right w:val="nil"/>
          <w:between w:val="nil"/>
        </w:pBdr>
        <w:tabs>
          <w:tab w:val="left" w:pos="426"/>
        </w:tabs>
        <w:ind w:right="-1220" w:hanging="2"/>
        <w:jc w:val="center"/>
        <w:rPr>
          <w:rFonts w:ascii="Titillium" w:eastAsia="Titillium" w:hAnsi="Titillium" w:cs="Titillium"/>
          <w:b/>
          <w:bCs/>
          <w:color w:val="000000"/>
          <w:sz w:val="21"/>
          <w:szCs w:val="21"/>
          <w:highlight w:val="white"/>
        </w:rPr>
      </w:pPr>
      <w:r>
        <w:rPr>
          <w:rFonts w:ascii="Titillium" w:eastAsia="Titillium" w:hAnsi="Titillium" w:cs="Titillium"/>
          <w:b/>
          <w:bCs/>
          <w:color w:val="000000"/>
          <w:sz w:val="21"/>
          <w:szCs w:val="21"/>
          <w:highlight w:val="white"/>
          <w:u w:val="single"/>
        </w:rPr>
        <w:t>Art. 15 Garanzia della prestazione</w:t>
      </w:r>
    </w:p>
    <w:p w14:paraId="0EF06E87" w14:textId="77777777" w:rsidR="00E551BF" w:rsidRDefault="00AC5484">
      <w:pPr>
        <w:pBdr>
          <w:top w:val="nil"/>
          <w:left w:val="nil"/>
          <w:bottom w:val="nil"/>
          <w:right w:val="nil"/>
          <w:between w:val="nil"/>
        </w:pBdr>
        <w:tabs>
          <w:tab w:val="left" w:pos="426"/>
        </w:tabs>
        <w:ind w:right="-1220" w:hanging="2"/>
        <w:jc w:val="both"/>
        <w:rPr>
          <w:rFonts w:ascii="Titillium" w:eastAsia="Titillium" w:hAnsi="Titillium" w:cs="Titillium"/>
          <w:color w:val="000000"/>
          <w:sz w:val="21"/>
          <w:szCs w:val="21"/>
          <w:highlight w:val="white"/>
        </w:rPr>
      </w:pPr>
      <w:r>
        <w:rPr>
          <w:rFonts w:ascii="Titillium" w:eastAsia="Titillium" w:hAnsi="Titillium" w:cs="Titillium"/>
          <w:b/>
          <w:bCs/>
          <w:color w:val="000000"/>
          <w:sz w:val="21"/>
          <w:szCs w:val="21"/>
          <w:highlight w:val="white"/>
        </w:rPr>
        <w:t xml:space="preserve"> </w:t>
      </w:r>
      <w:r>
        <w:rPr>
          <w:rFonts w:ascii="Titillium" w:eastAsia="Titillium" w:hAnsi="Titillium" w:cs="Titillium"/>
          <w:color w:val="000000"/>
          <w:sz w:val="21"/>
          <w:szCs w:val="21"/>
          <w:highlight w:val="white"/>
        </w:rPr>
        <w:t>L’IMPRESA garantisce la fornitura oggetto del presente Contratto per la durata di 12 (dodici) mesi dalla data di emissione del certificato di verifica di conformità. L’IMPRESA si impegna a sostituire a sua cura e spese quelle parti della fornitura che, per difetto di lavorazione e/o qualità di materiale, risultassero non idonee o difettose, nonché ad effettuare tutte le prestazioni conseguenti.</w:t>
      </w:r>
    </w:p>
    <w:p w14:paraId="38CCEF76" w14:textId="77777777" w:rsidR="00E551BF" w:rsidRDefault="00E551BF">
      <w:pPr>
        <w:pBdr>
          <w:top w:val="nil"/>
          <w:left w:val="nil"/>
          <w:bottom w:val="nil"/>
          <w:right w:val="nil"/>
          <w:between w:val="nil"/>
        </w:pBdr>
        <w:tabs>
          <w:tab w:val="left" w:pos="426"/>
        </w:tabs>
        <w:ind w:right="-1220" w:hanging="2"/>
        <w:jc w:val="both"/>
        <w:rPr>
          <w:rFonts w:ascii="Titillium" w:eastAsia="Titillium" w:hAnsi="Titillium" w:cs="Titillium"/>
          <w:color w:val="000000"/>
          <w:sz w:val="21"/>
          <w:szCs w:val="21"/>
          <w:highlight w:val="white"/>
        </w:rPr>
      </w:pPr>
    </w:p>
    <w:p w14:paraId="290B411C" w14:textId="77777777" w:rsidR="00E551BF" w:rsidRDefault="00AC5484">
      <w:pPr>
        <w:keepNext/>
        <w:widowControl w:val="0"/>
        <w:pBdr>
          <w:top w:val="nil"/>
          <w:left w:val="nil"/>
          <w:bottom w:val="nil"/>
          <w:right w:val="nil"/>
          <w:between w:val="nil"/>
        </w:pBdr>
        <w:tabs>
          <w:tab w:val="left" w:pos="426"/>
        </w:tabs>
        <w:ind w:right="-1220" w:hanging="2"/>
        <w:jc w:val="center"/>
        <w:rPr>
          <w:rFonts w:ascii="Titillium" w:eastAsia="Titillium" w:hAnsi="Titillium" w:cs="Titillium"/>
          <w:color w:val="000000"/>
          <w:sz w:val="21"/>
          <w:szCs w:val="21"/>
          <w:highlight w:val="white"/>
        </w:rPr>
      </w:pPr>
      <w:r>
        <w:rPr>
          <w:rFonts w:ascii="Titillium" w:eastAsia="Titillium" w:hAnsi="Titillium" w:cs="Titillium"/>
          <w:b/>
          <w:bCs/>
          <w:color w:val="000000"/>
          <w:sz w:val="21"/>
          <w:szCs w:val="21"/>
          <w:highlight w:val="white"/>
        </w:rPr>
        <w:t xml:space="preserve">Art. 16 </w:t>
      </w:r>
      <w:r>
        <w:rPr>
          <w:rFonts w:ascii="Titillium" w:eastAsia="Titillium" w:hAnsi="Titillium" w:cs="Titillium"/>
          <w:b/>
          <w:bCs/>
          <w:color w:val="000000"/>
          <w:sz w:val="21"/>
          <w:szCs w:val="21"/>
          <w:highlight w:val="white"/>
          <w:u w:val="single"/>
        </w:rPr>
        <w:t>Composizione societaria</w:t>
      </w:r>
    </w:p>
    <w:p w14:paraId="2FCD8E56" w14:textId="77777777" w:rsidR="00E551BF" w:rsidRDefault="00AC5484">
      <w:pPr>
        <w:keepNext/>
        <w:widowControl w:val="0"/>
        <w:pBdr>
          <w:top w:val="nil"/>
          <w:left w:val="nil"/>
          <w:bottom w:val="nil"/>
          <w:right w:val="nil"/>
          <w:between w:val="nil"/>
        </w:pBdr>
        <w:tabs>
          <w:tab w:val="left" w:pos="426"/>
        </w:tabs>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L'IMPRESA si impegna a comunicare all'INAF le eventuali variazioni nella composizione societaria di entità superiore al 2% (due per cento) rispetto a quanto comunicato al momento della stipula del Contratto, ai sensi e per gli effetti di quanto stabilito dal DPCM numero 187/1991. L’inosservanza di tale obbligo determina la risoluzione di diritto del Contratto, salvo il risarcimento degli eventuali danni subiti dall’INAF.</w:t>
      </w:r>
    </w:p>
    <w:p w14:paraId="7BDA57CC" w14:textId="77777777" w:rsidR="00E551BF" w:rsidRDefault="00E551BF">
      <w:pPr>
        <w:keepNext/>
        <w:widowControl w:val="0"/>
        <w:pBdr>
          <w:top w:val="nil"/>
          <w:left w:val="nil"/>
          <w:bottom w:val="nil"/>
          <w:right w:val="nil"/>
          <w:between w:val="nil"/>
        </w:pBdr>
        <w:tabs>
          <w:tab w:val="left" w:pos="426"/>
        </w:tabs>
        <w:ind w:right="-1220" w:hanging="2"/>
        <w:jc w:val="both"/>
        <w:rPr>
          <w:rFonts w:ascii="Titillium" w:eastAsia="Titillium" w:hAnsi="Titillium" w:cs="Titillium"/>
          <w:color w:val="000000"/>
          <w:sz w:val="21"/>
          <w:szCs w:val="21"/>
          <w:highlight w:val="white"/>
        </w:rPr>
      </w:pPr>
    </w:p>
    <w:p w14:paraId="02673628" w14:textId="77777777" w:rsidR="00E551BF" w:rsidRDefault="00AC5484">
      <w:pPr>
        <w:keepNext/>
        <w:widowControl w:val="0"/>
        <w:pBdr>
          <w:top w:val="nil"/>
          <w:left w:val="nil"/>
          <w:bottom w:val="nil"/>
          <w:right w:val="nil"/>
          <w:between w:val="nil"/>
        </w:pBdr>
        <w:ind w:right="-1220" w:hanging="2"/>
        <w:jc w:val="center"/>
        <w:rPr>
          <w:rFonts w:ascii="Titillium" w:eastAsia="Titillium" w:hAnsi="Titillium" w:cs="Titillium"/>
          <w:color w:val="000000"/>
          <w:sz w:val="21"/>
          <w:szCs w:val="21"/>
          <w:highlight w:val="white"/>
        </w:rPr>
      </w:pPr>
      <w:r>
        <w:rPr>
          <w:rFonts w:ascii="Titillium" w:eastAsia="Titillium" w:hAnsi="Titillium" w:cs="Titillium"/>
          <w:b/>
          <w:bCs/>
          <w:color w:val="000000"/>
          <w:sz w:val="21"/>
          <w:szCs w:val="21"/>
          <w:highlight w:val="white"/>
          <w:u w:val="single"/>
        </w:rPr>
        <w:t>Art. 17 Risoluzione e recesso</w:t>
      </w:r>
    </w:p>
    <w:p w14:paraId="4C95588C"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 L'INAF si riserva il diritto di risolvere il presente Contratto, ai sensi e per gli effetti dell'art. 1456 del </w:t>
      </w:r>
      <w:proofErr w:type="gramStart"/>
      <w:r>
        <w:rPr>
          <w:rFonts w:ascii="Titillium" w:eastAsia="Titillium" w:hAnsi="Titillium" w:cs="Titillium"/>
          <w:color w:val="000000"/>
          <w:sz w:val="21"/>
          <w:szCs w:val="21"/>
          <w:highlight w:val="white"/>
        </w:rPr>
        <w:t>Codice Civile</w:t>
      </w:r>
      <w:proofErr w:type="gramEnd"/>
      <w:r>
        <w:rPr>
          <w:rFonts w:ascii="Titillium" w:eastAsia="Titillium" w:hAnsi="Titillium" w:cs="Titillium"/>
          <w:color w:val="000000"/>
          <w:sz w:val="21"/>
          <w:szCs w:val="21"/>
          <w:highlight w:val="white"/>
        </w:rPr>
        <w:t xml:space="preserve"> con comunicazione scritta da inviarsi con raccomandata con avviso di ricevimento (</w:t>
      </w:r>
      <w:proofErr w:type="spellStart"/>
      <w:r>
        <w:rPr>
          <w:rFonts w:ascii="Titillium" w:eastAsia="Titillium" w:hAnsi="Titillium" w:cs="Titillium"/>
          <w:color w:val="000000"/>
          <w:sz w:val="21"/>
          <w:szCs w:val="21"/>
          <w:highlight w:val="white"/>
        </w:rPr>
        <w:t>a/r</w:t>
      </w:r>
      <w:proofErr w:type="spellEnd"/>
      <w:r>
        <w:rPr>
          <w:rFonts w:ascii="Titillium" w:eastAsia="Titillium" w:hAnsi="Titillium" w:cs="Titillium"/>
          <w:color w:val="000000"/>
          <w:sz w:val="21"/>
          <w:szCs w:val="21"/>
          <w:highlight w:val="white"/>
        </w:rPr>
        <w:t>) o mediante posta elettronica certificata (PEC), con un preavviso di 20 (venti) giorni, nei seguenti casi:</w:t>
      </w:r>
    </w:p>
    <w:p w14:paraId="1872DFA9" w14:textId="77777777" w:rsidR="00E551BF" w:rsidRDefault="00AC5484">
      <w:pPr>
        <w:numPr>
          <w:ilvl w:val="1"/>
          <w:numId w:val="6"/>
        </w:numPr>
        <w:pBdr>
          <w:top w:val="nil"/>
          <w:left w:val="nil"/>
          <w:bottom w:val="nil"/>
          <w:right w:val="nil"/>
          <w:between w:val="nil"/>
        </w:pBdr>
        <w:tabs>
          <w:tab w:val="left" w:pos="284"/>
          <w:tab w:val="left" w:pos="426"/>
        </w:tabs>
        <w:ind w:left="0"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 reiterati e aggravati inadempimenti imputabili all’IMPRESA, comprovati da almeno 3 (tre) documenti di contestazione ufficiale;</w:t>
      </w:r>
    </w:p>
    <w:p w14:paraId="09FB16FD" w14:textId="77777777" w:rsidR="00E551BF" w:rsidRDefault="00AC5484">
      <w:pPr>
        <w:numPr>
          <w:ilvl w:val="1"/>
          <w:numId w:val="6"/>
        </w:numPr>
        <w:pBdr>
          <w:top w:val="nil"/>
          <w:left w:val="nil"/>
          <w:bottom w:val="nil"/>
          <w:right w:val="nil"/>
          <w:between w:val="nil"/>
        </w:pBdr>
        <w:tabs>
          <w:tab w:val="left" w:pos="284"/>
          <w:tab w:val="left" w:pos="426"/>
        </w:tabs>
        <w:ind w:left="0"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qualora nei confronti dell’appaltatore sia intervenuta l’emanazione di un provvedimento definitivo che dispone l’applicazione di una o più misure di prevenzione di cui all’art. 67 e seguenti del D.lgs. numero 159/2011 e successive modifiche ed integrazioni, ovvero sia intervenuta sentenza di condanna passata in giudicato per frodi nei riguardi della Stazione Appaltante, di subcontraenti, di subappaltatori, di fornitori, di lavoratori o di altri soggetti comunque interessati all’appalto, nonché per violazion</w:t>
      </w:r>
      <w:r>
        <w:rPr>
          <w:rFonts w:ascii="Titillium" w:eastAsia="Titillium" w:hAnsi="Titillium" w:cs="Titillium"/>
          <w:color w:val="000000"/>
          <w:sz w:val="21"/>
          <w:szCs w:val="21"/>
          <w:highlight w:val="white"/>
        </w:rPr>
        <w:t xml:space="preserve">i gravi degli obblighi attinenti alla sicurezza sul lavoro; </w:t>
      </w:r>
    </w:p>
    <w:p w14:paraId="00AD8B0E" w14:textId="77777777" w:rsidR="00E551BF" w:rsidRDefault="00AC5484">
      <w:pPr>
        <w:keepNext/>
        <w:widowControl w:val="0"/>
        <w:numPr>
          <w:ilvl w:val="1"/>
          <w:numId w:val="6"/>
        </w:numPr>
        <w:pBdr>
          <w:top w:val="nil"/>
          <w:left w:val="nil"/>
          <w:bottom w:val="nil"/>
          <w:right w:val="nil"/>
          <w:between w:val="nil"/>
        </w:pBdr>
        <w:ind w:left="0" w:right="-1220" w:hanging="2"/>
        <w:jc w:val="both"/>
        <w:rPr>
          <w:rFonts w:ascii="Titillium" w:eastAsia="Titillium" w:hAnsi="Titillium" w:cs="Titillium"/>
          <w:color w:val="FF0000"/>
          <w:sz w:val="21"/>
          <w:szCs w:val="21"/>
          <w:highlight w:val="white"/>
        </w:rPr>
      </w:pPr>
      <w:r>
        <w:rPr>
          <w:rFonts w:ascii="Titillium" w:eastAsia="Titillium" w:hAnsi="Titillium" w:cs="Titillium"/>
          <w:color w:val="000000"/>
          <w:sz w:val="21"/>
          <w:szCs w:val="21"/>
          <w:highlight w:val="white"/>
        </w:rPr>
        <w:t xml:space="preserve">per l’intervenuto accertamento in via definitiva di violazioni gravi alla normativa previdenziale ed assicurativa, nonché al pagamento di imposte e tasse. Restano in ogni caso impregiudicati i diritti dell’INAF al risarcimento di eventuali ulteriori danni e all’incameramento della garanzia fideiussoria. </w:t>
      </w:r>
    </w:p>
    <w:p w14:paraId="1CBC52D5"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sz w:val="21"/>
          <w:szCs w:val="21"/>
          <w:highlight w:val="white"/>
        </w:rPr>
      </w:pPr>
      <w:r>
        <w:rPr>
          <w:rFonts w:ascii="Titillium" w:eastAsia="Titillium" w:hAnsi="Titillium" w:cs="Titillium"/>
          <w:color w:val="000000"/>
          <w:sz w:val="21"/>
          <w:szCs w:val="21"/>
          <w:highlight w:val="white"/>
        </w:rPr>
        <w:t xml:space="preserve">L’INAF si riserva la facoltà di risolvere il contratto </w:t>
      </w:r>
      <w:r>
        <w:rPr>
          <w:rFonts w:ascii="Titillium" w:eastAsia="Titillium" w:hAnsi="Titillium" w:cs="Titillium"/>
          <w:sz w:val="21"/>
          <w:szCs w:val="21"/>
          <w:highlight w:val="white"/>
        </w:rPr>
        <w:t>in tutti gli altri cassi previsti dalla legge.</w:t>
      </w:r>
    </w:p>
    <w:p w14:paraId="7FC27870"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 L'INAF si riserva, inoltre, il diritto di recedere unilateralmente dal Contratto in qualsiasi momento senza alcun onere a suo carico, con un preavviso di almeno 20 (venti) giorni solari, da comunicarsi all'IMPRESA mediante raccomandata con avviso di ricevimento (</w:t>
      </w:r>
      <w:proofErr w:type="spellStart"/>
      <w:r>
        <w:rPr>
          <w:rFonts w:ascii="Titillium" w:eastAsia="Titillium" w:hAnsi="Titillium" w:cs="Titillium"/>
          <w:color w:val="000000"/>
          <w:sz w:val="21"/>
          <w:szCs w:val="21"/>
          <w:highlight w:val="white"/>
        </w:rPr>
        <w:t>a/r</w:t>
      </w:r>
      <w:proofErr w:type="spellEnd"/>
      <w:r>
        <w:rPr>
          <w:rFonts w:ascii="Titillium" w:eastAsia="Titillium" w:hAnsi="Titillium" w:cs="Titillium"/>
          <w:color w:val="000000"/>
          <w:sz w:val="21"/>
          <w:szCs w:val="21"/>
          <w:highlight w:val="white"/>
        </w:rPr>
        <w:t xml:space="preserve">) o mediante posta elettronica certificata (PEC). In caso di recesso all'IMPRESA, spetterà il corrispettivo </w:t>
      </w:r>
      <w:r>
        <w:rPr>
          <w:rFonts w:ascii="Titillium" w:eastAsia="Titillium" w:hAnsi="Titillium" w:cs="Titillium"/>
          <w:sz w:val="21"/>
          <w:szCs w:val="21"/>
          <w:highlight w:val="white"/>
        </w:rPr>
        <w:t>nei limiti di quanto stabilito dalle norme di legge</w:t>
      </w:r>
      <w:r>
        <w:rPr>
          <w:rFonts w:ascii="Titillium" w:eastAsia="Titillium" w:hAnsi="Titillium" w:cs="Titillium"/>
          <w:color w:val="000000"/>
          <w:sz w:val="21"/>
          <w:szCs w:val="21"/>
          <w:highlight w:val="white"/>
        </w:rPr>
        <w:t xml:space="preserve">. </w:t>
      </w:r>
    </w:p>
    <w:p w14:paraId="62935BD5" w14:textId="77777777" w:rsidR="00E551BF" w:rsidRDefault="00E551BF">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p>
    <w:p w14:paraId="4A36D544" w14:textId="77777777" w:rsidR="00E551BF" w:rsidRDefault="00AC5484">
      <w:pPr>
        <w:keepNext/>
        <w:widowControl w:val="0"/>
        <w:pBdr>
          <w:top w:val="nil"/>
          <w:left w:val="nil"/>
          <w:bottom w:val="nil"/>
          <w:right w:val="nil"/>
          <w:between w:val="nil"/>
        </w:pBdr>
        <w:ind w:right="-1220" w:hanging="2"/>
        <w:jc w:val="center"/>
        <w:rPr>
          <w:rFonts w:ascii="Titillium" w:eastAsia="Titillium" w:hAnsi="Titillium" w:cs="Titillium"/>
          <w:b/>
          <w:bCs/>
          <w:color w:val="000000"/>
          <w:sz w:val="21"/>
          <w:szCs w:val="21"/>
          <w:highlight w:val="white"/>
          <w:u w:val="single"/>
        </w:rPr>
      </w:pPr>
      <w:r>
        <w:rPr>
          <w:rFonts w:ascii="Titillium" w:eastAsia="Titillium" w:hAnsi="Titillium" w:cs="Titillium"/>
          <w:b/>
          <w:bCs/>
          <w:color w:val="000000"/>
          <w:sz w:val="21"/>
          <w:szCs w:val="21"/>
          <w:highlight w:val="white"/>
          <w:u w:val="single"/>
        </w:rPr>
        <w:t xml:space="preserve">ART. 18 – GARANZIA DEFINITIVA </w:t>
      </w:r>
    </w:p>
    <w:p w14:paraId="34A07835"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1. A garanzia dell'esatto e tempestivo adempimento degli obblighi contrattuali derivanti dal presente contratto, il Contraente ha depositato idonea garanzia dell'importo di € ____________/__, resa ai sensi dell'art. 11 7 del Decreto Legislativo n. 36/2023, in favore dell'INAF. </w:t>
      </w:r>
    </w:p>
    <w:p w14:paraId="0B304F51"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2. La garanzia ha validità temporale pari alla durata del contratto (6 mesi) e dovrà, comunque, avere efficacia fino ad apposita comunicazione liberatoria (costituita anche dalla semplice restituzione del </w:t>
      </w:r>
      <w:r>
        <w:rPr>
          <w:rFonts w:ascii="Titillium" w:eastAsia="Titillium" w:hAnsi="Titillium" w:cs="Titillium"/>
          <w:color w:val="000000"/>
          <w:sz w:val="21"/>
          <w:szCs w:val="21"/>
          <w:highlight w:val="white"/>
        </w:rPr>
        <w:lastRenderedPageBreak/>
        <w:t xml:space="preserve">documento di garanzia) da parte dell'INAF, con la quale verrà attestata l'assenza oppure la definizione di ogni eventuale eccezione e controversia, sorte in dipendenza dell'esecuzione del contratto. </w:t>
      </w:r>
    </w:p>
    <w:p w14:paraId="575F8388"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3. La garanzia dovrà essere reintegrata entro il termine di 10 (dieci) giorni lavorativi dal ricevimento della richiesta dell'INAF qualora, in fase di esecuzione del contratto, essa sia stata escussa parzialmente o totalmente a seguito di ritardi o altre inadempienze da parte del Contraente. In caso di inadempimento a tale obbligo, l'INAF ha facoltà di dichiarare risolto di diritto il contratto.</w:t>
      </w:r>
    </w:p>
    <w:p w14:paraId="0645DF96" w14:textId="77777777" w:rsidR="00E551BF" w:rsidRDefault="00E551BF">
      <w:pPr>
        <w:keepNext/>
        <w:widowControl w:val="0"/>
        <w:pBdr>
          <w:top w:val="nil"/>
          <w:left w:val="nil"/>
          <w:bottom w:val="nil"/>
          <w:right w:val="nil"/>
          <w:between w:val="nil"/>
        </w:pBdr>
        <w:ind w:right="-1220" w:hanging="2"/>
        <w:jc w:val="both"/>
        <w:rPr>
          <w:rFonts w:ascii="Titillium" w:eastAsia="Titillium" w:hAnsi="Titillium" w:cs="Titillium"/>
          <w:color w:val="FF0000"/>
          <w:sz w:val="21"/>
          <w:szCs w:val="21"/>
          <w:highlight w:val="white"/>
        </w:rPr>
      </w:pPr>
    </w:p>
    <w:p w14:paraId="419F358A" w14:textId="77777777" w:rsidR="00E551BF" w:rsidRDefault="00AC5484">
      <w:pPr>
        <w:keepNext/>
        <w:widowControl w:val="0"/>
        <w:pBdr>
          <w:top w:val="nil"/>
          <w:left w:val="nil"/>
          <w:bottom w:val="nil"/>
          <w:right w:val="nil"/>
          <w:between w:val="nil"/>
        </w:pBdr>
        <w:ind w:right="-1220" w:hanging="2"/>
        <w:jc w:val="center"/>
        <w:rPr>
          <w:rFonts w:ascii="Titillium" w:eastAsia="Titillium" w:hAnsi="Titillium" w:cs="Titillium"/>
          <w:color w:val="000000"/>
          <w:sz w:val="21"/>
          <w:szCs w:val="21"/>
          <w:highlight w:val="white"/>
        </w:rPr>
      </w:pPr>
      <w:r>
        <w:rPr>
          <w:rFonts w:ascii="Titillium" w:eastAsia="Titillium" w:hAnsi="Titillium" w:cs="Titillium"/>
          <w:b/>
          <w:bCs/>
          <w:color w:val="000000"/>
          <w:sz w:val="21"/>
          <w:szCs w:val="21"/>
          <w:highlight w:val="white"/>
        </w:rPr>
        <w:t xml:space="preserve">Art.  19 </w:t>
      </w:r>
      <w:r>
        <w:rPr>
          <w:rFonts w:ascii="Titillium" w:eastAsia="Titillium" w:hAnsi="Titillium" w:cs="Titillium"/>
          <w:b/>
          <w:bCs/>
          <w:color w:val="000000"/>
          <w:sz w:val="21"/>
          <w:szCs w:val="21"/>
          <w:highlight w:val="white"/>
          <w:u w:val="single"/>
        </w:rPr>
        <w:t>Foro competente</w:t>
      </w:r>
      <w:r>
        <w:rPr>
          <w:rFonts w:ascii="Titillium" w:eastAsia="Titillium" w:hAnsi="Titillium" w:cs="Titillium"/>
          <w:color w:val="000000"/>
          <w:sz w:val="21"/>
          <w:szCs w:val="21"/>
          <w:highlight w:val="white"/>
        </w:rPr>
        <w:t xml:space="preserve"> </w:t>
      </w:r>
    </w:p>
    <w:p w14:paraId="13D5C3E1"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Per qualunque controversia diretta o indiretta in ordine all’interpretazione o all’esecuzione del presente Contratto è competente, in via esclusiva, il Foro di Roma.</w:t>
      </w:r>
    </w:p>
    <w:p w14:paraId="0AC852ED" w14:textId="77777777" w:rsidR="00E551BF" w:rsidRDefault="00E551BF">
      <w:pPr>
        <w:keepNext/>
        <w:widowControl w:val="0"/>
        <w:pBdr>
          <w:top w:val="nil"/>
          <w:left w:val="nil"/>
          <w:bottom w:val="nil"/>
          <w:right w:val="nil"/>
          <w:between w:val="nil"/>
        </w:pBdr>
        <w:ind w:right="-1220" w:hanging="2"/>
        <w:jc w:val="both"/>
        <w:rPr>
          <w:rFonts w:ascii="Titillium" w:eastAsia="Titillium" w:hAnsi="Titillium" w:cs="Titillium"/>
          <w:sz w:val="21"/>
          <w:szCs w:val="21"/>
          <w:highlight w:val="white"/>
        </w:rPr>
      </w:pPr>
    </w:p>
    <w:p w14:paraId="42220CD0" w14:textId="77777777" w:rsidR="00E551BF" w:rsidRDefault="00E551BF">
      <w:pPr>
        <w:keepNext/>
        <w:widowControl w:val="0"/>
        <w:pBdr>
          <w:top w:val="nil"/>
          <w:left w:val="nil"/>
          <w:bottom w:val="nil"/>
          <w:right w:val="nil"/>
          <w:between w:val="nil"/>
        </w:pBdr>
        <w:ind w:right="-1220" w:hanging="2"/>
        <w:jc w:val="both"/>
        <w:rPr>
          <w:rFonts w:ascii="Titillium" w:eastAsia="Titillium" w:hAnsi="Titillium" w:cs="Titillium"/>
          <w:sz w:val="21"/>
          <w:szCs w:val="21"/>
          <w:highlight w:val="white"/>
        </w:rPr>
      </w:pPr>
    </w:p>
    <w:p w14:paraId="2F5262AD" w14:textId="77777777" w:rsidR="00E551BF" w:rsidRDefault="00AC5484">
      <w:pPr>
        <w:pBdr>
          <w:top w:val="nil"/>
          <w:left w:val="nil"/>
          <w:bottom w:val="nil"/>
          <w:right w:val="nil"/>
          <w:between w:val="nil"/>
        </w:pBdr>
        <w:ind w:right="-1220" w:hanging="2"/>
        <w:jc w:val="center"/>
        <w:rPr>
          <w:rFonts w:ascii="Titillium" w:eastAsia="Titillium" w:hAnsi="Titillium" w:cs="Titillium"/>
          <w:color w:val="000000"/>
          <w:sz w:val="21"/>
          <w:szCs w:val="21"/>
          <w:highlight w:val="white"/>
        </w:rPr>
      </w:pPr>
      <w:r>
        <w:rPr>
          <w:rFonts w:ascii="Titillium" w:eastAsia="Titillium" w:hAnsi="Titillium" w:cs="Titillium"/>
          <w:b/>
          <w:bCs/>
          <w:color w:val="000000"/>
          <w:sz w:val="21"/>
          <w:szCs w:val="21"/>
          <w:highlight w:val="white"/>
        </w:rPr>
        <w:t xml:space="preserve">Art.  20 </w:t>
      </w:r>
      <w:r>
        <w:rPr>
          <w:rFonts w:ascii="Titillium" w:eastAsia="Titillium" w:hAnsi="Titillium" w:cs="Titillium"/>
          <w:b/>
          <w:bCs/>
          <w:color w:val="000000"/>
          <w:sz w:val="21"/>
          <w:szCs w:val="21"/>
          <w:highlight w:val="white"/>
          <w:u w:val="single"/>
        </w:rPr>
        <w:t>Spese contrattuali</w:t>
      </w:r>
    </w:p>
    <w:p w14:paraId="06A05BE5" w14:textId="77777777" w:rsidR="00E551BF" w:rsidRDefault="00AC5484">
      <w:pPr>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Il presente contratto, stipulato in modalità elettronica ai sensi dell'art, 18, comma 1, del Decreto Legislativo 36/2023, ê soggetto ad imposta di bollo, a carico della Società, in conformità a quanto prescritto dall'art. 18, comma 10, del citato Decreto e dal relativo Allegato 14. </w:t>
      </w:r>
    </w:p>
    <w:p w14:paraId="50F219E3" w14:textId="77777777" w:rsidR="00E551BF" w:rsidRDefault="00AC5484">
      <w:pPr>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2. La misura dell'imposta di bollo è determinata in base a quanto previsto dalla Tabella A di cui al citato Allegato 1.4 al Decreto Legislativo 36/2023, fatto salvo quanto previsto dal comma 5 del presente articolo. </w:t>
      </w:r>
    </w:p>
    <w:p w14:paraId="72D7EE0E" w14:textId="77777777" w:rsidR="00E551BF" w:rsidRDefault="00AC5484">
      <w:pPr>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3. L'imposta di bollo deve essere assolta con le modalità indicate dal provvedimento prot. n. 240013/2023 del Direttore dell'Agenzia delle Entrate e dalla relativa Circolare interpretativa n. 22/E del 28 luglio 2023, ossia tramite il modello "F24 Versamenti con elementi identificativi" </w:t>
      </w:r>
      <w:proofErr w:type="gramStart"/>
      <w:r>
        <w:rPr>
          <w:rFonts w:ascii="Titillium" w:eastAsia="Titillium" w:hAnsi="Titillium" w:cs="Titillium"/>
          <w:color w:val="000000"/>
          <w:sz w:val="21"/>
          <w:szCs w:val="21"/>
          <w:highlight w:val="white"/>
        </w:rPr>
        <w:t>( F</w:t>
      </w:r>
      <w:proofErr w:type="gramEnd"/>
      <w:r>
        <w:rPr>
          <w:rFonts w:ascii="Titillium" w:eastAsia="Titillium" w:hAnsi="Titillium" w:cs="Titillium"/>
          <w:color w:val="000000"/>
          <w:sz w:val="21"/>
          <w:szCs w:val="21"/>
          <w:highlight w:val="white"/>
        </w:rPr>
        <w:t xml:space="preserve">24 ELIDE), da compilare come </w:t>
      </w:r>
      <w:proofErr w:type="spellStart"/>
      <w:r>
        <w:rPr>
          <w:rFonts w:ascii="Titillium" w:eastAsia="Titillium" w:hAnsi="Titillium" w:cs="Titillium"/>
          <w:color w:val="000000"/>
          <w:sz w:val="21"/>
          <w:szCs w:val="21"/>
          <w:highlight w:val="white"/>
        </w:rPr>
        <w:t>da</w:t>
      </w:r>
      <w:proofErr w:type="spellEnd"/>
      <w:r>
        <w:rPr>
          <w:rFonts w:ascii="Titillium" w:eastAsia="Titillium" w:hAnsi="Titillium" w:cs="Titillium"/>
          <w:color w:val="000000"/>
          <w:sz w:val="21"/>
          <w:szCs w:val="21"/>
          <w:highlight w:val="white"/>
        </w:rPr>
        <w:t xml:space="preserve"> indicazioni contenute nella risoluzione dell'Agenzia delle Entrate n. 37/E del 28 giugno 2023. </w:t>
      </w:r>
    </w:p>
    <w:p w14:paraId="60D4920F" w14:textId="77777777" w:rsidR="00E551BF" w:rsidRDefault="00AC5484">
      <w:pPr>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4. Non è ammesso il pagamento dell'imposta di bollo in modalità virtuale né con altre </w:t>
      </w:r>
      <w:proofErr w:type="gramStart"/>
      <w:r>
        <w:rPr>
          <w:rFonts w:ascii="Titillium" w:eastAsia="Titillium" w:hAnsi="Titillium" w:cs="Titillium"/>
          <w:color w:val="000000"/>
          <w:sz w:val="21"/>
          <w:szCs w:val="21"/>
          <w:highlight w:val="white"/>
        </w:rPr>
        <w:t>modalità .</w:t>
      </w:r>
      <w:proofErr w:type="gramEnd"/>
      <w:r>
        <w:rPr>
          <w:rFonts w:ascii="Titillium" w:eastAsia="Titillium" w:hAnsi="Titillium" w:cs="Titillium"/>
          <w:color w:val="000000"/>
          <w:sz w:val="21"/>
          <w:szCs w:val="21"/>
          <w:highlight w:val="white"/>
        </w:rPr>
        <w:t xml:space="preserve"> </w:t>
      </w:r>
    </w:p>
    <w:p w14:paraId="55F436C5" w14:textId="77777777" w:rsidR="00E551BF" w:rsidRDefault="00AC5484">
      <w:pPr>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5. Il pagamento dell'imposta di bollo di cui al presente articolo ha natura sostitutiva dell'imposta di bollo dovuta per tutti gli atti e documenti riguardanti la procedura di selezione e l'esecuzione dell'appalto, fatta eccezione per le fatture, note e simili di cui all'art. 13, punto 1, della Tariffa, Parte 1, allegata al D.P.R. n. 642/1972. </w:t>
      </w:r>
    </w:p>
    <w:p w14:paraId="14E5FDEF" w14:textId="77777777" w:rsidR="00E551BF" w:rsidRDefault="00AC5484">
      <w:pPr>
        <w:pBdr>
          <w:top w:val="nil"/>
          <w:left w:val="nil"/>
          <w:bottom w:val="nil"/>
          <w:right w:val="nil"/>
          <w:between w:val="nil"/>
        </w:pBdr>
        <w:ind w:left="-2" w:right="-1220" w:firstLine="0"/>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Per l'effetto, il calcolo della misura dell'imposta di bollo da corrispondere per la stipula del presente contratto deve essere effettuato considerando a scomputo l'imposta di bollo già assolta in fase di gara. 6. Sono comunque a carico della Società tutti gli oneri tributari e le spese del presente atto ad eccezione di quelli che sono a carico dell'INAF per legge.</w:t>
      </w:r>
    </w:p>
    <w:p w14:paraId="564B6F8C" w14:textId="77777777" w:rsidR="00E551BF" w:rsidRDefault="00E551BF">
      <w:pPr>
        <w:pBdr>
          <w:top w:val="nil"/>
          <w:left w:val="nil"/>
          <w:bottom w:val="nil"/>
          <w:right w:val="nil"/>
          <w:between w:val="nil"/>
        </w:pBdr>
        <w:ind w:right="-1220" w:hanging="2"/>
        <w:jc w:val="both"/>
        <w:rPr>
          <w:rFonts w:ascii="Titillium" w:eastAsia="Titillium" w:hAnsi="Titillium" w:cs="Titillium"/>
          <w:color w:val="000000"/>
          <w:sz w:val="21"/>
          <w:szCs w:val="21"/>
          <w:highlight w:val="white"/>
        </w:rPr>
      </w:pPr>
    </w:p>
    <w:p w14:paraId="270330C4" w14:textId="77777777" w:rsidR="00E551BF" w:rsidRDefault="00AC5484">
      <w:pPr>
        <w:keepNext/>
        <w:widowControl w:val="0"/>
        <w:pBdr>
          <w:top w:val="nil"/>
          <w:left w:val="nil"/>
          <w:bottom w:val="nil"/>
          <w:right w:val="nil"/>
          <w:between w:val="nil"/>
        </w:pBdr>
        <w:ind w:right="-1220" w:hanging="2"/>
        <w:jc w:val="center"/>
        <w:rPr>
          <w:rFonts w:ascii="Titillium" w:eastAsia="Titillium" w:hAnsi="Titillium" w:cs="Titillium"/>
          <w:color w:val="000000"/>
          <w:sz w:val="21"/>
          <w:szCs w:val="21"/>
          <w:highlight w:val="white"/>
        </w:rPr>
      </w:pPr>
      <w:r>
        <w:rPr>
          <w:rFonts w:ascii="Titillium" w:eastAsia="Titillium" w:hAnsi="Titillium" w:cs="Titillium"/>
          <w:b/>
          <w:bCs/>
          <w:color w:val="000000"/>
          <w:sz w:val="21"/>
          <w:szCs w:val="21"/>
          <w:highlight w:val="white"/>
        </w:rPr>
        <w:t xml:space="preserve">Art.  21 </w:t>
      </w:r>
      <w:r>
        <w:rPr>
          <w:rFonts w:ascii="Titillium" w:eastAsia="Titillium" w:hAnsi="Titillium" w:cs="Titillium"/>
          <w:b/>
          <w:bCs/>
          <w:color w:val="000000"/>
          <w:sz w:val="21"/>
          <w:szCs w:val="21"/>
          <w:highlight w:val="white"/>
          <w:u w:val="single"/>
        </w:rPr>
        <w:t xml:space="preserve">Esecuzione del Contratto </w:t>
      </w:r>
    </w:p>
    <w:p w14:paraId="4072A00D"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b/>
          <w:bCs/>
          <w:color w:val="C00000"/>
          <w:sz w:val="21"/>
          <w:szCs w:val="21"/>
          <w:highlight w:val="white"/>
        </w:rPr>
      </w:pPr>
      <w:r>
        <w:rPr>
          <w:rFonts w:ascii="Titillium" w:eastAsia="Titillium" w:hAnsi="Titillium" w:cs="Titillium"/>
          <w:color w:val="000000"/>
          <w:sz w:val="21"/>
          <w:szCs w:val="21"/>
          <w:highlight w:val="white"/>
        </w:rPr>
        <w:t>La funzione di Responsabile Unico del Procedimento è affidata al Dott. Fabrizio Dirri dipendente dell’INAF – IAPS.</w:t>
      </w:r>
    </w:p>
    <w:p w14:paraId="0872EC31" w14:textId="77777777" w:rsidR="00E551BF" w:rsidRDefault="00E551BF">
      <w:pPr>
        <w:keepNext/>
        <w:widowControl w:val="0"/>
        <w:pBdr>
          <w:top w:val="nil"/>
          <w:left w:val="nil"/>
          <w:bottom w:val="nil"/>
          <w:right w:val="nil"/>
          <w:between w:val="nil"/>
        </w:pBdr>
        <w:ind w:right="-1220" w:firstLine="0"/>
        <w:jc w:val="both"/>
        <w:rPr>
          <w:rFonts w:ascii="Titillium" w:eastAsia="Titillium" w:hAnsi="Titillium" w:cs="Titillium"/>
          <w:sz w:val="21"/>
          <w:szCs w:val="21"/>
          <w:highlight w:val="white"/>
        </w:rPr>
      </w:pPr>
    </w:p>
    <w:p w14:paraId="3BDBC2A2" w14:textId="77777777" w:rsidR="00E551BF" w:rsidRDefault="00AC5484">
      <w:pPr>
        <w:keepNext/>
        <w:widowControl w:val="0"/>
        <w:pBdr>
          <w:top w:val="nil"/>
          <w:left w:val="nil"/>
          <w:bottom w:val="nil"/>
          <w:right w:val="nil"/>
          <w:between w:val="nil"/>
        </w:pBdr>
        <w:ind w:right="-1220" w:hanging="2"/>
        <w:jc w:val="center"/>
        <w:rPr>
          <w:rFonts w:ascii="Titillium" w:eastAsia="Titillium" w:hAnsi="Titillium" w:cs="Titillium"/>
          <w:color w:val="000000"/>
          <w:sz w:val="21"/>
          <w:szCs w:val="21"/>
          <w:highlight w:val="white"/>
        </w:rPr>
      </w:pPr>
      <w:r>
        <w:rPr>
          <w:rFonts w:ascii="Titillium" w:eastAsia="Titillium" w:hAnsi="Titillium" w:cs="Titillium"/>
          <w:b/>
          <w:bCs/>
          <w:color w:val="000000"/>
          <w:sz w:val="21"/>
          <w:szCs w:val="21"/>
          <w:highlight w:val="white"/>
        </w:rPr>
        <w:t xml:space="preserve">Art. 22 </w:t>
      </w:r>
      <w:r>
        <w:rPr>
          <w:rFonts w:ascii="Titillium" w:eastAsia="Titillium" w:hAnsi="Titillium" w:cs="Titillium"/>
          <w:b/>
          <w:bCs/>
          <w:color w:val="000000"/>
          <w:sz w:val="21"/>
          <w:szCs w:val="21"/>
          <w:highlight w:val="white"/>
          <w:u w:val="single"/>
        </w:rPr>
        <w:t>Trattamento dei Dati</w:t>
      </w:r>
    </w:p>
    <w:p w14:paraId="78C6887B"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L’IMPRESA dichiara di essere stata informata in merito al trattamento dei dati raccolti in esecuzione del presente contratto e di aver informato ed acquisito, se necessario, il relativo consenso da parte degli interessati i cui dati personali sono forniti nell’ambito e per le finalità dello stesso.  Nell’esecuzione del presente contratto, l’IMPRESA e il proprio personale, in quanto autorizzato al trattamento dei dati personali, si impegna al rispetto delle disposizioni contenute nel Regolamento UE numero 20</w:t>
      </w:r>
      <w:r>
        <w:rPr>
          <w:rFonts w:ascii="Titillium" w:eastAsia="Titillium" w:hAnsi="Titillium" w:cs="Titillium"/>
          <w:color w:val="000000"/>
          <w:sz w:val="21"/>
          <w:szCs w:val="21"/>
          <w:highlight w:val="white"/>
        </w:rPr>
        <w:t>16/679 e del D. Lgs. 196/03 e successive modifiche ed integrazioni nonché a trattare i soli dati funzionali, necessari e pertinenti all’esecuzione del presente contratto in modo lecito e secondo correttezza, nei limiti dell’oggetto e delle finalità descritte per lo stesso. In caso di designazione a Responsabile del trattamento dei dati, l’IMPRESA si impegna ad accettare l’incarico e ad osservare gli obblighi contenuti nel documento denominato "contratto di designazione a responsabile dei dati" che, una volt</w:t>
      </w:r>
      <w:r>
        <w:rPr>
          <w:rFonts w:ascii="Titillium" w:eastAsia="Titillium" w:hAnsi="Titillium" w:cs="Titillium"/>
          <w:color w:val="000000"/>
          <w:sz w:val="21"/>
          <w:szCs w:val="21"/>
          <w:highlight w:val="white"/>
        </w:rPr>
        <w:t xml:space="preserve">a sottoscritto, costituirà parte integrante del presente contratto. L’IMPRESA dovrà garantire che i dati personali oggetto di trattamento, verranno gestiti nell’ambito dell’UE e che non sarà effettuato alcun trasferimento degli stessi verso un paese terzo se non alle condizioni previste nel Regolamento.  </w:t>
      </w:r>
    </w:p>
    <w:p w14:paraId="736EC965"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Titolare del Trattamento per </w:t>
      </w:r>
      <w:proofErr w:type="gramStart"/>
      <w:r>
        <w:rPr>
          <w:rFonts w:ascii="Titillium" w:eastAsia="Titillium" w:hAnsi="Titillium" w:cs="Titillium"/>
          <w:b/>
          <w:bCs/>
          <w:color w:val="000000"/>
          <w:sz w:val="21"/>
          <w:szCs w:val="21"/>
          <w:highlight w:val="white"/>
        </w:rPr>
        <w:t>inafsedecentralepcert.postecert.it  -</w:t>
      </w:r>
      <w:proofErr w:type="gramEnd"/>
      <w:r>
        <w:rPr>
          <w:rFonts w:ascii="Titillium" w:eastAsia="Titillium" w:hAnsi="Titillium" w:cs="Titillium"/>
          <w:color w:val="000000"/>
          <w:sz w:val="21"/>
          <w:szCs w:val="21"/>
          <w:highlight w:val="white"/>
        </w:rPr>
        <w:t xml:space="preserve"> Responsabile della Protezione dei </w:t>
      </w:r>
      <w:r>
        <w:rPr>
          <w:rFonts w:ascii="Titillium" w:eastAsia="Titillium" w:hAnsi="Titillium" w:cs="Titillium"/>
          <w:color w:val="000000"/>
          <w:sz w:val="21"/>
          <w:szCs w:val="21"/>
          <w:highlight w:val="white"/>
        </w:rPr>
        <w:lastRenderedPageBreak/>
        <w:t xml:space="preserve">Dati: </w:t>
      </w:r>
      <w:proofErr w:type="gramStart"/>
      <w:r>
        <w:rPr>
          <w:rFonts w:ascii="Titillium" w:eastAsia="Titillium" w:hAnsi="Titillium" w:cs="Titillium"/>
          <w:color w:val="000000"/>
          <w:sz w:val="21"/>
          <w:szCs w:val="21"/>
          <w:highlight w:val="white"/>
        </w:rPr>
        <w:t>email</w:t>
      </w:r>
      <w:proofErr w:type="gramEnd"/>
      <w:r>
        <w:rPr>
          <w:rFonts w:ascii="Titillium" w:eastAsia="Titillium" w:hAnsi="Titillium" w:cs="Titillium"/>
          <w:color w:val="000000"/>
          <w:sz w:val="21"/>
          <w:szCs w:val="21"/>
          <w:highlight w:val="white"/>
        </w:rPr>
        <w:t xml:space="preserve">: </w:t>
      </w:r>
      <w:r>
        <w:rPr>
          <w:rFonts w:ascii="Titillium" w:eastAsia="Titillium" w:hAnsi="Titillium" w:cs="Titillium"/>
          <w:b/>
          <w:bCs/>
          <w:color w:val="000000"/>
          <w:sz w:val="21"/>
          <w:szCs w:val="21"/>
          <w:highlight w:val="white"/>
        </w:rPr>
        <w:t>rpd@inaf.it</w:t>
      </w:r>
      <w:r>
        <w:rPr>
          <w:rFonts w:ascii="Titillium" w:eastAsia="Titillium" w:hAnsi="Titillium" w:cs="Titillium"/>
          <w:color w:val="000000"/>
          <w:sz w:val="21"/>
          <w:szCs w:val="21"/>
          <w:highlight w:val="white"/>
        </w:rPr>
        <w:t xml:space="preserve"> </w:t>
      </w:r>
    </w:p>
    <w:p w14:paraId="7C312B7D"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Titolare del Trattamento per l’IMPRESA </w:t>
      </w:r>
      <w:proofErr w:type="spellStart"/>
      <w:r>
        <w:rPr>
          <w:rFonts w:ascii="Titillium" w:eastAsia="Titillium" w:hAnsi="Titillium" w:cs="Titillium"/>
          <w:b/>
          <w:bCs/>
          <w:color w:val="FF0000"/>
          <w:sz w:val="21"/>
          <w:szCs w:val="21"/>
          <w:highlight w:val="white"/>
        </w:rPr>
        <w:t>xxxxxxxxxxxxxxxxxxxxxxxx</w:t>
      </w:r>
      <w:proofErr w:type="spellEnd"/>
    </w:p>
    <w:p w14:paraId="055E47BC"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Responsabile della protezione dei Dati: </w:t>
      </w:r>
      <w:proofErr w:type="gramStart"/>
      <w:r>
        <w:rPr>
          <w:rFonts w:ascii="Titillium" w:eastAsia="Titillium" w:hAnsi="Titillium" w:cs="Titillium"/>
          <w:color w:val="000000"/>
          <w:sz w:val="21"/>
          <w:szCs w:val="21"/>
          <w:highlight w:val="white"/>
        </w:rPr>
        <w:t>email</w:t>
      </w:r>
      <w:proofErr w:type="gramEnd"/>
      <w:r>
        <w:rPr>
          <w:rFonts w:ascii="Titillium" w:eastAsia="Titillium" w:hAnsi="Titillium" w:cs="Titillium"/>
          <w:color w:val="000000"/>
          <w:sz w:val="21"/>
          <w:szCs w:val="21"/>
          <w:highlight w:val="white"/>
        </w:rPr>
        <w:t xml:space="preserve">: </w:t>
      </w:r>
      <w:proofErr w:type="spellStart"/>
      <w:r>
        <w:rPr>
          <w:rFonts w:ascii="Titillium" w:eastAsia="Titillium" w:hAnsi="Titillium" w:cs="Titillium"/>
          <w:b/>
          <w:bCs/>
          <w:color w:val="FF0000"/>
          <w:sz w:val="21"/>
          <w:szCs w:val="21"/>
          <w:highlight w:val="white"/>
        </w:rPr>
        <w:t>xxxxxxxxxxxxxxxxxxxxxx</w:t>
      </w:r>
      <w:proofErr w:type="spellEnd"/>
    </w:p>
    <w:p w14:paraId="0CF2AB60" w14:textId="77777777" w:rsidR="00E551BF" w:rsidRDefault="00E551BF">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p>
    <w:p w14:paraId="54A53E91" w14:textId="77777777" w:rsidR="00E551BF" w:rsidRDefault="00AC5484">
      <w:pPr>
        <w:widowControl w:val="0"/>
        <w:pBdr>
          <w:top w:val="nil"/>
          <w:left w:val="nil"/>
          <w:bottom w:val="nil"/>
          <w:right w:val="nil"/>
          <w:between w:val="nil"/>
        </w:pBdr>
        <w:ind w:right="-1220" w:hanging="2"/>
        <w:jc w:val="center"/>
        <w:rPr>
          <w:rFonts w:ascii="Titillium" w:eastAsia="Titillium" w:hAnsi="Titillium" w:cs="Titillium"/>
          <w:color w:val="000000"/>
          <w:sz w:val="21"/>
          <w:szCs w:val="21"/>
          <w:highlight w:val="white"/>
        </w:rPr>
      </w:pPr>
      <w:r>
        <w:rPr>
          <w:rFonts w:ascii="Titillium" w:eastAsia="Titillium" w:hAnsi="Titillium" w:cs="Titillium"/>
          <w:b/>
          <w:bCs/>
          <w:color w:val="000000"/>
          <w:sz w:val="21"/>
          <w:szCs w:val="21"/>
          <w:highlight w:val="white"/>
        </w:rPr>
        <w:t xml:space="preserve">Art. </w:t>
      </w:r>
      <w:proofErr w:type="gramStart"/>
      <w:r>
        <w:rPr>
          <w:rFonts w:ascii="Titillium" w:eastAsia="Titillium" w:hAnsi="Titillium" w:cs="Titillium"/>
          <w:b/>
          <w:bCs/>
          <w:color w:val="000000"/>
          <w:sz w:val="21"/>
          <w:szCs w:val="21"/>
          <w:highlight w:val="white"/>
        </w:rPr>
        <w:t xml:space="preserve">23  </w:t>
      </w:r>
      <w:r>
        <w:rPr>
          <w:rFonts w:ascii="Titillium" w:eastAsia="Titillium" w:hAnsi="Titillium" w:cs="Titillium"/>
          <w:b/>
          <w:bCs/>
          <w:color w:val="000000"/>
          <w:sz w:val="21"/>
          <w:szCs w:val="21"/>
          <w:highlight w:val="white"/>
          <w:u w:val="single"/>
        </w:rPr>
        <w:t>Efficacia</w:t>
      </w:r>
      <w:proofErr w:type="gramEnd"/>
      <w:r>
        <w:rPr>
          <w:rFonts w:ascii="Titillium" w:eastAsia="Titillium" w:hAnsi="Titillium" w:cs="Titillium"/>
          <w:b/>
          <w:bCs/>
          <w:color w:val="000000"/>
          <w:sz w:val="21"/>
          <w:szCs w:val="21"/>
          <w:highlight w:val="white"/>
          <w:u w:val="single"/>
        </w:rPr>
        <w:t xml:space="preserve"> del contratto</w:t>
      </w:r>
    </w:p>
    <w:p w14:paraId="625E1F75" w14:textId="77777777" w:rsidR="00E551BF" w:rsidRDefault="00AC5484">
      <w:pPr>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 Il presente Contratto viene sottoscritto digitalmente ad unico effetto. È impegnativo per l’IMPRESA sin dalla data di sottoscrizione, ma diventerà impegnativo per l'INAF solo dopo la sottoscrizione da parte del suo Legale Rappresentante. Le Parti contraenti, prima di sottoscrivere il presente Contratto, lo dichiarano conforme alla propria volontà.</w:t>
      </w:r>
    </w:p>
    <w:p w14:paraId="4FE9C317" w14:textId="77777777" w:rsidR="00E551BF" w:rsidRDefault="00E551BF">
      <w:pPr>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p>
    <w:p w14:paraId="55EE1F4C" w14:textId="77777777" w:rsidR="00E551BF" w:rsidRDefault="00E551BF">
      <w:pPr>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p>
    <w:p w14:paraId="2B338D90"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b/>
          <w:bCs/>
          <w:color w:val="000000"/>
          <w:sz w:val="21"/>
          <w:szCs w:val="21"/>
          <w:highlight w:val="white"/>
        </w:rPr>
      </w:pPr>
      <w:r>
        <w:rPr>
          <w:rFonts w:ascii="Titillium" w:eastAsia="Titillium" w:hAnsi="Titillium" w:cs="Titillium"/>
          <w:b/>
          <w:bCs/>
          <w:color w:val="000000"/>
          <w:sz w:val="21"/>
          <w:szCs w:val="21"/>
          <w:highlight w:val="white"/>
        </w:rPr>
        <w:tab/>
        <w:t>Il Contraente</w:t>
      </w:r>
      <w:r>
        <w:rPr>
          <w:rFonts w:ascii="Titillium" w:eastAsia="Titillium" w:hAnsi="Titillium" w:cs="Titillium"/>
          <w:b/>
          <w:bCs/>
          <w:color w:val="000000"/>
          <w:sz w:val="21"/>
          <w:szCs w:val="21"/>
          <w:highlight w:val="white"/>
        </w:rPr>
        <w:tab/>
      </w:r>
      <w:r>
        <w:rPr>
          <w:rFonts w:ascii="Titillium" w:eastAsia="Titillium" w:hAnsi="Titillium" w:cs="Titillium"/>
          <w:b/>
          <w:bCs/>
          <w:color w:val="000000"/>
          <w:sz w:val="21"/>
          <w:szCs w:val="21"/>
          <w:highlight w:val="white"/>
        </w:rPr>
        <w:tab/>
      </w:r>
      <w:r>
        <w:rPr>
          <w:rFonts w:ascii="Titillium" w:eastAsia="Titillium" w:hAnsi="Titillium" w:cs="Titillium"/>
          <w:b/>
          <w:bCs/>
          <w:color w:val="000000"/>
          <w:sz w:val="21"/>
          <w:szCs w:val="21"/>
          <w:highlight w:val="white"/>
        </w:rPr>
        <w:tab/>
      </w:r>
      <w:r>
        <w:rPr>
          <w:rFonts w:ascii="Titillium" w:eastAsia="Titillium" w:hAnsi="Titillium" w:cs="Titillium"/>
          <w:b/>
          <w:bCs/>
          <w:color w:val="000000"/>
          <w:sz w:val="21"/>
          <w:szCs w:val="21"/>
          <w:highlight w:val="white"/>
        </w:rPr>
        <w:tab/>
      </w:r>
      <w:r>
        <w:rPr>
          <w:rFonts w:ascii="Titillium" w:eastAsia="Titillium" w:hAnsi="Titillium" w:cs="Titillium"/>
          <w:b/>
          <w:bCs/>
          <w:color w:val="000000"/>
          <w:sz w:val="21"/>
          <w:szCs w:val="21"/>
          <w:highlight w:val="white"/>
        </w:rPr>
        <w:tab/>
      </w:r>
      <w:r>
        <w:rPr>
          <w:rFonts w:ascii="Titillium" w:eastAsia="Titillium" w:hAnsi="Titillium" w:cs="Titillium"/>
          <w:b/>
          <w:bCs/>
          <w:color w:val="000000"/>
          <w:sz w:val="21"/>
          <w:szCs w:val="21"/>
          <w:highlight w:val="white"/>
        </w:rPr>
        <w:tab/>
      </w:r>
      <w:r>
        <w:rPr>
          <w:rFonts w:ascii="Titillium" w:eastAsia="Titillium" w:hAnsi="Titillium" w:cs="Titillium"/>
          <w:b/>
          <w:bCs/>
          <w:color w:val="000000"/>
          <w:sz w:val="21"/>
          <w:szCs w:val="21"/>
          <w:highlight w:val="white"/>
        </w:rPr>
        <w:tab/>
      </w:r>
      <w:r>
        <w:rPr>
          <w:rFonts w:ascii="Titillium" w:eastAsia="Titillium" w:hAnsi="Titillium" w:cs="Titillium"/>
          <w:b/>
          <w:bCs/>
          <w:color w:val="000000"/>
          <w:sz w:val="21"/>
          <w:szCs w:val="21"/>
          <w:highlight w:val="white"/>
        </w:rPr>
        <w:tab/>
        <w:t>Il Direttore IAPS</w:t>
      </w:r>
    </w:p>
    <w:p w14:paraId="73CA96D0" w14:textId="77777777" w:rsidR="00E551BF" w:rsidRDefault="00E551BF">
      <w:pPr>
        <w:keepNext/>
        <w:widowControl w:val="0"/>
        <w:pBdr>
          <w:top w:val="nil"/>
          <w:left w:val="nil"/>
          <w:bottom w:val="nil"/>
          <w:right w:val="nil"/>
          <w:between w:val="nil"/>
        </w:pBdr>
        <w:ind w:right="-1220" w:hanging="2"/>
        <w:jc w:val="both"/>
        <w:rPr>
          <w:rFonts w:ascii="Titillium" w:eastAsia="Titillium" w:hAnsi="Titillium" w:cs="Titillium"/>
          <w:b/>
          <w:bCs/>
          <w:sz w:val="21"/>
          <w:szCs w:val="21"/>
          <w:highlight w:val="white"/>
        </w:rPr>
      </w:pPr>
    </w:p>
    <w:p w14:paraId="3E08B109" w14:textId="77777777" w:rsidR="00E551BF" w:rsidRDefault="00E551BF">
      <w:pPr>
        <w:keepNext/>
        <w:widowControl w:val="0"/>
        <w:pBdr>
          <w:top w:val="nil"/>
          <w:left w:val="nil"/>
          <w:bottom w:val="nil"/>
          <w:right w:val="nil"/>
          <w:between w:val="nil"/>
        </w:pBdr>
        <w:ind w:right="-1220" w:hanging="2"/>
        <w:jc w:val="both"/>
        <w:rPr>
          <w:rFonts w:ascii="Titillium" w:eastAsia="Titillium" w:hAnsi="Titillium" w:cs="Titillium"/>
          <w:b/>
          <w:bCs/>
          <w:sz w:val="21"/>
          <w:szCs w:val="21"/>
          <w:highlight w:val="white"/>
        </w:rPr>
      </w:pPr>
    </w:p>
    <w:p w14:paraId="6E7C6954" w14:textId="77777777" w:rsidR="00E551BF" w:rsidRDefault="00E551BF">
      <w:pPr>
        <w:keepNext/>
        <w:widowControl w:val="0"/>
        <w:pBdr>
          <w:top w:val="nil"/>
          <w:left w:val="nil"/>
          <w:bottom w:val="nil"/>
          <w:right w:val="nil"/>
          <w:between w:val="nil"/>
        </w:pBdr>
        <w:ind w:right="-1220" w:hanging="2"/>
        <w:jc w:val="both"/>
        <w:rPr>
          <w:rFonts w:ascii="Titillium" w:eastAsia="Titillium" w:hAnsi="Titillium" w:cs="Titillium"/>
          <w:b/>
          <w:bCs/>
          <w:sz w:val="21"/>
          <w:szCs w:val="21"/>
          <w:highlight w:val="white"/>
        </w:rPr>
      </w:pPr>
    </w:p>
    <w:p w14:paraId="35E1AB29"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sz w:val="21"/>
          <w:szCs w:val="21"/>
          <w:highlight w:val="white"/>
        </w:rPr>
      </w:pPr>
      <w:r>
        <w:rPr>
          <w:rFonts w:ascii="Titillium" w:eastAsia="Titillium" w:hAnsi="Titillium" w:cs="Titillium"/>
          <w:color w:val="FF0000"/>
          <w:sz w:val="21"/>
          <w:szCs w:val="21"/>
          <w:highlight w:val="white"/>
        </w:rPr>
        <w:t>Xxxxxxxxxxxxxxxxxxxxxxxxx</w:t>
      </w:r>
      <w:r>
        <w:rPr>
          <w:rFonts w:ascii="Titillium" w:eastAsia="Titillium" w:hAnsi="Titillium" w:cs="Titillium"/>
          <w:sz w:val="21"/>
          <w:szCs w:val="21"/>
          <w:highlight w:val="white"/>
        </w:rPr>
        <w:tab/>
      </w:r>
      <w:r>
        <w:rPr>
          <w:rFonts w:ascii="Titillium" w:eastAsia="Titillium" w:hAnsi="Titillium" w:cs="Titillium"/>
          <w:sz w:val="21"/>
          <w:szCs w:val="21"/>
          <w:highlight w:val="white"/>
        </w:rPr>
        <w:tab/>
      </w:r>
      <w:r>
        <w:rPr>
          <w:rFonts w:ascii="Titillium" w:eastAsia="Titillium" w:hAnsi="Titillium" w:cs="Titillium"/>
          <w:sz w:val="21"/>
          <w:szCs w:val="21"/>
          <w:highlight w:val="white"/>
        </w:rPr>
        <w:tab/>
      </w:r>
      <w:r>
        <w:rPr>
          <w:rFonts w:ascii="Titillium" w:eastAsia="Titillium" w:hAnsi="Titillium" w:cs="Titillium"/>
          <w:sz w:val="21"/>
          <w:szCs w:val="21"/>
          <w:highlight w:val="white"/>
        </w:rPr>
        <w:tab/>
      </w:r>
      <w:r>
        <w:rPr>
          <w:rFonts w:ascii="Titillium" w:eastAsia="Titillium" w:hAnsi="Titillium" w:cs="Titillium"/>
          <w:sz w:val="21"/>
          <w:szCs w:val="21"/>
          <w:highlight w:val="white"/>
        </w:rPr>
        <w:tab/>
      </w:r>
      <w:r>
        <w:rPr>
          <w:rFonts w:ascii="Titillium" w:eastAsia="Titillium" w:hAnsi="Titillium" w:cs="Titillium"/>
          <w:sz w:val="21"/>
          <w:szCs w:val="21"/>
          <w:highlight w:val="white"/>
        </w:rPr>
        <w:tab/>
      </w:r>
      <w:r>
        <w:rPr>
          <w:rFonts w:ascii="Titillium" w:eastAsia="Titillium" w:hAnsi="Titillium" w:cs="Titillium"/>
          <w:color w:val="000000"/>
          <w:sz w:val="21"/>
          <w:szCs w:val="21"/>
          <w:highlight w:val="white"/>
        </w:rPr>
        <w:t>Dottore Marco Feroci</w:t>
      </w:r>
    </w:p>
    <w:p w14:paraId="2D70103F" w14:textId="77777777" w:rsidR="00E551BF" w:rsidRDefault="00E551BF">
      <w:pPr>
        <w:keepNext/>
        <w:widowControl w:val="0"/>
        <w:pBdr>
          <w:top w:val="nil"/>
          <w:left w:val="nil"/>
          <w:bottom w:val="nil"/>
          <w:right w:val="nil"/>
          <w:between w:val="nil"/>
        </w:pBdr>
        <w:tabs>
          <w:tab w:val="left" w:pos="709"/>
        </w:tabs>
        <w:ind w:right="-1220" w:hanging="2"/>
        <w:jc w:val="center"/>
        <w:rPr>
          <w:rFonts w:ascii="Titillium" w:eastAsia="Titillium" w:hAnsi="Titillium" w:cs="Titillium"/>
          <w:color w:val="000000"/>
          <w:sz w:val="21"/>
          <w:szCs w:val="21"/>
          <w:highlight w:val="white"/>
        </w:rPr>
      </w:pPr>
    </w:p>
    <w:p w14:paraId="3F2C1E3F" w14:textId="77777777" w:rsidR="00E551BF" w:rsidRDefault="00AC5484">
      <w:pPr>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ab/>
      </w:r>
      <w:r>
        <w:rPr>
          <w:rFonts w:ascii="Titillium" w:eastAsia="Titillium" w:hAnsi="Titillium" w:cs="Titillium"/>
          <w:color w:val="000000"/>
          <w:sz w:val="21"/>
          <w:szCs w:val="21"/>
          <w:highlight w:val="white"/>
        </w:rPr>
        <w:tab/>
      </w:r>
      <w:r>
        <w:rPr>
          <w:rFonts w:ascii="Titillium" w:eastAsia="Titillium" w:hAnsi="Titillium" w:cs="Titillium"/>
          <w:color w:val="000000"/>
          <w:sz w:val="21"/>
          <w:szCs w:val="21"/>
          <w:highlight w:val="white"/>
        </w:rPr>
        <w:tab/>
        <w:t xml:space="preserve">        </w:t>
      </w:r>
    </w:p>
    <w:p w14:paraId="1A913D2B"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Ai sensi e per gli effetti di cui all’art. 1341 del </w:t>
      </w:r>
      <w:proofErr w:type="gramStart"/>
      <w:r>
        <w:rPr>
          <w:rFonts w:ascii="Titillium" w:eastAsia="Titillium" w:hAnsi="Titillium" w:cs="Titillium"/>
          <w:color w:val="000000"/>
          <w:sz w:val="21"/>
          <w:szCs w:val="21"/>
          <w:highlight w:val="white"/>
        </w:rPr>
        <w:t>Codice Civile</w:t>
      </w:r>
      <w:proofErr w:type="gramEnd"/>
      <w:r>
        <w:rPr>
          <w:rFonts w:ascii="Titillium" w:eastAsia="Titillium" w:hAnsi="Titillium" w:cs="Titillium"/>
          <w:color w:val="000000"/>
          <w:sz w:val="21"/>
          <w:szCs w:val="21"/>
          <w:highlight w:val="white"/>
        </w:rPr>
        <w:t xml:space="preserve">, l’IMPRESA dichiara di accettare tutte le condizioni e i patti contenuti nel presente contratto. </w:t>
      </w:r>
      <w:proofErr w:type="gramStart"/>
      <w:r>
        <w:rPr>
          <w:rFonts w:ascii="Titillium" w:eastAsia="Titillium" w:hAnsi="Titillium" w:cs="Titillium"/>
          <w:color w:val="000000"/>
          <w:sz w:val="21"/>
          <w:szCs w:val="21"/>
          <w:highlight w:val="white"/>
        </w:rPr>
        <w:t>In particolare</w:t>
      </w:r>
      <w:proofErr w:type="gramEnd"/>
      <w:r>
        <w:rPr>
          <w:rFonts w:ascii="Titillium" w:eastAsia="Titillium" w:hAnsi="Titillium" w:cs="Titillium"/>
          <w:color w:val="000000"/>
          <w:sz w:val="21"/>
          <w:szCs w:val="21"/>
          <w:highlight w:val="white"/>
        </w:rPr>
        <w:t xml:space="preserve"> dichiara di approvare espressamente i seguenti articoli:</w:t>
      </w:r>
    </w:p>
    <w:p w14:paraId="50E44BC6" w14:textId="77777777" w:rsidR="00E551BF" w:rsidRDefault="00E551BF">
      <w:pPr>
        <w:keepNext/>
        <w:widowControl w:val="0"/>
        <w:pBdr>
          <w:top w:val="nil"/>
          <w:left w:val="nil"/>
          <w:bottom w:val="nil"/>
          <w:right w:val="nil"/>
          <w:between w:val="nil"/>
        </w:pBdr>
        <w:ind w:right="-1220" w:hanging="2"/>
        <w:jc w:val="both"/>
        <w:rPr>
          <w:rFonts w:ascii="Titillium" w:eastAsia="Titillium" w:hAnsi="Titillium" w:cs="Titillium"/>
          <w:sz w:val="21"/>
          <w:szCs w:val="21"/>
          <w:highlight w:val="white"/>
        </w:rPr>
      </w:pPr>
    </w:p>
    <w:p w14:paraId="613BCAC3"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 - Penali;</w:t>
      </w:r>
    </w:p>
    <w:p w14:paraId="4DDE80E4"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Verifica di conformità, fatturazione e pagamenti;</w:t>
      </w:r>
    </w:p>
    <w:p w14:paraId="6C0393CD"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xml:space="preserve"> - Risoluzione e recesso;</w:t>
      </w:r>
    </w:p>
    <w:p w14:paraId="604A0BAB"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 Foro competente.</w:t>
      </w:r>
    </w:p>
    <w:p w14:paraId="13AE840D" w14:textId="77777777" w:rsidR="00E551BF" w:rsidRDefault="00E551BF">
      <w:pPr>
        <w:keepNext/>
        <w:widowControl w:val="0"/>
        <w:pBdr>
          <w:top w:val="nil"/>
          <w:left w:val="nil"/>
          <w:bottom w:val="nil"/>
          <w:right w:val="nil"/>
          <w:between w:val="nil"/>
        </w:pBdr>
        <w:ind w:right="-1220" w:hanging="2"/>
        <w:jc w:val="both"/>
        <w:rPr>
          <w:rFonts w:ascii="Titillium" w:eastAsia="Titillium" w:hAnsi="Titillium" w:cs="Titillium"/>
          <w:sz w:val="21"/>
          <w:szCs w:val="21"/>
          <w:highlight w:val="white"/>
        </w:rPr>
      </w:pPr>
    </w:p>
    <w:p w14:paraId="290CB3E7" w14:textId="77777777" w:rsidR="00E551BF" w:rsidRDefault="00E551BF">
      <w:pPr>
        <w:keepNext/>
        <w:widowControl w:val="0"/>
        <w:pBdr>
          <w:top w:val="nil"/>
          <w:left w:val="nil"/>
          <w:bottom w:val="nil"/>
          <w:right w:val="nil"/>
          <w:between w:val="nil"/>
        </w:pBdr>
        <w:ind w:right="-1220" w:hanging="2"/>
        <w:jc w:val="both"/>
        <w:rPr>
          <w:rFonts w:ascii="Titillium" w:eastAsia="Titillium" w:hAnsi="Titillium" w:cs="Titillium"/>
          <w:color w:val="000000"/>
          <w:sz w:val="21"/>
          <w:szCs w:val="21"/>
          <w:highlight w:val="white"/>
        </w:rPr>
      </w:pPr>
    </w:p>
    <w:p w14:paraId="675E5BD7" w14:textId="77777777" w:rsidR="00E551BF" w:rsidRDefault="00AC5484">
      <w:pPr>
        <w:keepNext/>
        <w:widowControl w:val="0"/>
        <w:pBdr>
          <w:top w:val="nil"/>
          <w:left w:val="nil"/>
          <w:bottom w:val="nil"/>
          <w:right w:val="nil"/>
          <w:between w:val="nil"/>
        </w:pBdr>
        <w:ind w:right="-1220" w:hanging="2"/>
        <w:jc w:val="both"/>
        <w:rPr>
          <w:rFonts w:ascii="Titillium" w:eastAsia="Titillium" w:hAnsi="Titillium" w:cs="Titillium"/>
          <w:b/>
          <w:bCs/>
          <w:color w:val="000000"/>
          <w:sz w:val="21"/>
          <w:szCs w:val="21"/>
          <w:highlight w:val="white"/>
        </w:rPr>
      </w:pPr>
      <w:r>
        <w:rPr>
          <w:rFonts w:ascii="Titillium" w:eastAsia="Titillium" w:hAnsi="Titillium" w:cs="Titillium"/>
          <w:b/>
          <w:bCs/>
          <w:color w:val="000000"/>
          <w:sz w:val="21"/>
          <w:szCs w:val="21"/>
          <w:highlight w:val="white"/>
        </w:rPr>
        <w:tab/>
        <w:t>Il Contraente</w:t>
      </w:r>
      <w:r>
        <w:rPr>
          <w:rFonts w:ascii="Titillium" w:eastAsia="Titillium" w:hAnsi="Titillium" w:cs="Titillium"/>
          <w:b/>
          <w:bCs/>
          <w:color w:val="000000"/>
          <w:sz w:val="21"/>
          <w:szCs w:val="21"/>
          <w:highlight w:val="white"/>
        </w:rPr>
        <w:tab/>
      </w:r>
      <w:r>
        <w:rPr>
          <w:rFonts w:ascii="Titillium" w:eastAsia="Titillium" w:hAnsi="Titillium" w:cs="Titillium"/>
          <w:b/>
          <w:bCs/>
          <w:color w:val="000000"/>
          <w:sz w:val="21"/>
          <w:szCs w:val="21"/>
          <w:highlight w:val="white"/>
        </w:rPr>
        <w:tab/>
      </w:r>
      <w:r>
        <w:rPr>
          <w:rFonts w:ascii="Titillium" w:eastAsia="Titillium" w:hAnsi="Titillium" w:cs="Titillium"/>
          <w:b/>
          <w:bCs/>
          <w:color w:val="000000"/>
          <w:sz w:val="21"/>
          <w:szCs w:val="21"/>
          <w:highlight w:val="white"/>
        </w:rPr>
        <w:tab/>
      </w:r>
      <w:r>
        <w:rPr>
          <w:rFonts w:ascii="Titillium" w:eastAsia="Titillium" w:hAnsi="Titillium" w:cs="Titillium"/>
          <w:b/>
          <w:bCs/>
          <w:color w:val="000000"/>
          <w:sz w:val="21"/>
          <w:szCs w:val="21"/>
          <w:highlight w:val="white"/>
        </w:rPr>
        <w:tab/>
      </w:r>
      <w:r>
        <w:rPr>
          <w:rFonts w:ascii="Titillium" w:eastAsia="Titillium" w:hAnsi="Titillium" w:cs="Titillium"/>
          <w:b/>
          <w:bCs/>
          <w:color w:val="000000"/>
          <w:sz w:val="21"/>
          <w:szCs w:val="21"/>
          <w:highlight w:val="white"/>
        </w:rPr>
        <w:tab/>
      </w:r>
      <w:r>
        <w:rPr>
          <w:rFonts w:ascii="Titillium" w:eastAsia="Titillium" w:hAnsi="Titillium" w:cs="Titillium"/>
          <w:b/>
          <w:bCs/>
          <w:color w:val="000000"/>
          <w:sz w:val="21"/>
          <w:szCs w:val="21"/>
          <w:highlight w:val="white"/>
        </w:rPr>
        <w:tab/>
      </w:r>
      <w:r>
        <w:rPr>
          <w:rFonts w:ascii="Titillium" w:eastAsia="Titillium" w:hAnsi="Titillium" w:cs="Titillium"/>
          <w:b/>
          <w:bCs/>
          <w:color w:val="000000"/>
          <w:sz w:val="21"/>
          <w:szCs w:val="21"/>
          <w:highlight w:val="white"/>
        </w:rPr>
        <w:tab/>
      </w:r>
      <w:r>
        <w:rPr>
          <w:rFonts w:ascii="Titillium" w:eastAsia="Titillium" w:hAnsi="Titillium" w:cs="Titillium"/>
          <w:b/>
          <w:bCs/>
          <w:color w:val="000000"/>
          <w:sz w:val="21"/>
          <w:szCs w:val="21"/>
          <w:highlight w:val="white"/>
        </w:rPr>
        <w:tab/>
        <w:t>Il Direttore IAPS</w:t>
      </w:r>
    </w:p>
    <w:p w14:paraId="29F6266A" w14:textId="77777777" w:rsidR="00E551BF" w:rsidRDefault="00E551BF">
      <w:pPr>
        <w:keepNext/>
        <w:widowControl w:val="0"/>
        <w:pBdr>
          <w:top w:val="nil"/>
          <w:left w:val="nil"/>
          <w:bottom w:val="nil"/>
          <w:right w:val="nil"/>
          <w:between w:val="nil"/>
        </w:pBdr>
        <w:ind w:right="-1220" w:hanging="2"/>
        <w:jc w:val="both"/>
        <w:rPr>
          <w:rFonts w:ascii="Titillium" w:eastAsia="Titillium" w:hAnsi="Titillium" w:cs="Titillium"/>
          <w:b/>
          <w:bCs/>
          <w:sz w:val="21"/>
          <w:szCs w:val="21"/>
          <w:highlight w:val="white"/>
        </w:rPr>
      </w:pPr>
    </w:p>
    <w:p w14:paraId="632C8C25" w14:textId="77777777" w:rsidR="00E551BF" w:rsidRDefault="00E551BF">
      <w:pPr>
        <w:keepNext/>
        <w:widowControl w:val="0"/>
        <w:pBdr>
          <w:top w:val="nil"/>
          <w:left w:val="nil"/>
          <w:bottom w:val="nil"/>
          <w:right w:val="nil"/>
          <w:between w:val="nil"/>
        </w:pBdr>
        <w:ind w:right="-1220" w:hanging="2"/>
        <w:jc w:val="both"/>
        <w:rPr>
          <w:rFonts w:ascii="Titillium" w:eastAsia="Titillium" w:hAnsi="Titillium" w:cs="Titillium"/>
          <w:b/>
          <w:bCs/>
          <w:sz w:val="21"/>
          <w:szCs w:val="21"/>
          <w:highlight w:val="white"/>
        </w:rPr>
      </w:pPr>
    </w:p>
    <w:p w14:paraId="3F0946E7" w14:textId="77777777" w:rsidR="00E551BF" w:rsidRDefault="00E551BF">
      <w:pPr>
        <w:keepNext/>
        <w:widowControl w:val="0"/>
        <w:pBdr>
          <w:top w:val="nil"/>
          <w:left w:val="nil"/>
          <w:bottom w:val="nil"/>
          <w:right w:val="nil"/>
          <w:between w:val="nil"/>
        </w:pBdr>
        <w:ind w:right="-1220" w:hanging="2"/>
        <w:jc w:val="both"/>
        <w:rPr>
          <w:rFonts w:ascii="Titillium" w:eastAsia="Titillium" w:hAnsi="Titillium" w:cs="Titillium"/>
          <w:b/>
          <w:bCs/>
          <w:sz w:val="21"/>
          <w:szCs w:val="21"/>
          <w:highlight w:val="white"/>
        </w:rPr>
      </w:pPr>
    </w:p>
    <w:p w14:paraId="61F1CF20" w14:textId="77777777" w:rsidR="00E551BF" w:rsidRDefault="00AC5484">
      <w:pPr>
        <w:keepNext/>
        <w:widowControl w:val="0"/>
        <w:pBdr>
          <w:top w:val="nil"/>
          <w:left w:val="nil"/>
          <w:bottom w:val="nil"/>
          <w:right w:val="nil"/>
          <w:between w:val="nil"/>
        </w:pBdr>
        <w:ind w:right="-1220" w:firstLine="0"/>
        <w:rPr>
          <w:rFonts w:ascii="Titillium" w:eastAsia="Titillium" w:hAnsi="Titillium" w:cs="Titillium"/>
          <w:color w:val="000000"/>
          <w:sz w:val="21"/>
          <w:szCs w:val="21"/>
          <w:highlight w:val="white"/>
        </w:rPr>
      </w:pPr>
      <w:proofErr w:type="spellStart"/>
      <w:r>
        <w:rPr>
          <w:rFonts w:ascii="Titillium" w:eastAsia="Titillium" w:hAnsi="Titillium" w:cs="Titillium"/>
          <w:color w:val="FF0000"/>
          <w:sz w:val="21"/>
          <w:szCs w:val="21"/>
          <w:highlight w:val="white"/>
        </w:rPr>
        <w:t>Xxxxxxxxxxx</w:t>
      </w:r>
      <w:proofErr w:type="spellEnd"/>
      <w:r>
        <w:rPr>
          <w:rFonts w:ascii="Titillium" w:eastAsia="Titillium" w:hAnsi="Titillium" w:cs="Titillium"/>
          <w:sz w:val="21"/>
          <w:szCs w:val="21"/>
          <w:highlight w:val="white"/>
        </w:rPr>
        <w:tab/>
      </w:r>
      <w:r>
        <w:rPr>
          <w:rFonts w:ascii="Titillium" w:eastAsia="Titillium" w:hAnsi="Titillium" w:cs="Titillium"/>
          <w:sz w:val="21"/>
          <w:szCs w:val="21"/>
          <w:highlight w:val="white"/>
        </w:rPr>
        <w:tab/>
      </w:r>
      <w:r>
        <w:rPr>
          <w:rFonts w:ascii="Titillium" w:eastAsia="Titillium" w:hAnsi="Titillium" w:cs="Titillium"/>
          <w:sz w:val="21"/>
          <w:szCs w:val="21"/>
          <w:highlight w:val="white"/>
        </w:rPr>
        <w:tab/>
      </w:r>
      <w:r>
        <w:rPr>
          <w:rFonts w:ascii="Titillium" w:eastAsia="Titillium" w:hAnsi="Titillium" w:cs="Titillium"/>
          <w:sz w:val="21"/>
          <w:szCs w:val="21"/>
          <w:highlight w:val="white"/>
        </w:rPr>
        <w:tab/>
      </w:r>
      <w:r>
        <w:rPr>
          <w:rFonts w:ascii="Titillium" w:eastAsia="Titillium" w:hAnsi="Titillium" w:cs="Titillium"/>
          <w:sz w:val="21"/>
          <w:szCs w:val="21"/>
          <w:highlight w:val="white"/>
        </w:rPr>
        <w:tab/>
      </w:r>
      <w:r>
        <w:rPr>
          <w:rFonts w:ascii="Titillium" w:eastAsia="Titillium" w:hAnsi="Titillium" w:cs="Titillium"/>
          <w:sz w:val="21"/>
          <w:szCs w:val="21"/>
          <w:highlight w:val="white"/>
        </w:rPr>
        <w:tab/>
      </w:r>
      <w:r>
        <w:rPr>
          <w:rFonts w:ascii="Titillium" w:eastAsia="Titillium" w:hAnsi="Titillium" w:cs="Titillium"/>
          <w:sz w:val="21"/>
          <w:szCs w:val="21"/>
          <w:highlight w:val="white"/>
        </w:rPr>
        <w:tab/>
      </w:r>
      <w:r>
        <w:rPr>
          <w:rFonts w:ascii="Titillium" w:eastAsia="Titillium" w:hAnsi="Titillium" w:cs="Titillium"/>
          <w:sz w:val="21"/>
          <w:szCs w:val="21"/>
          <w:highlight w:val="white"/>
        </w:rPr>
        <w:tab/>
      </w:r>
      <w:r>
        <w:rPr>
          <w:rFonts w:ascii="Titillium" w:eastAsia="Titillium" w:hAnsi="Titillium" w:cs="Titillium"/>
          <w:color w:val="000000"/>
          <w:sz w:val="21"/>
          <w:szCs w:val="21"/>
          <w:highlight w:val="white"/>
        </w:rPr>
        <w:t>Dottore Marco Feroci</w:t>
      </w:r>
      <w:r>
        <w:rPr>
          <w:rFonts w:ascii="Titillium" w:eastAsia="Titillium" w:hAnsi="Titillium" w:cs="Titillium"/>
          <w:color w:val="000000"/>
          <w:sz w:val="21"/>
          <w:szCs w:val="21"/>
          <w:highlight w:val="white"/>
        </w:rPr>
        <w:tab/>
      </w:r>
    </w:p>
    <w:p w14:paraId="14A3FC35" w14:textId="77777777" w:rsidR="00E551BF" w:rsidRDefault="00E551BF">
      <w:pPr>
        <w:keepNext/>
        <w:widowControl w:val="0"/>
        <w:pBdr>
          <w:top w:val="nil"/>
          <w:left w:val="nil"/>
          <w:bottom w:val="nil"/>
          <w:right w:val="nil"/>
          <w:between w:val="nil"/>
        </w:pBdr>
        <w:ind w:right="-1220" w:hanging="2"/>
        <w:jc w:val="both"/>
        <w:rPr>
          <w:rFonts w:ascii="Titillium" w:eastAsia="Titillium" w:hAnsi="Titillium" w:cs="Titillium"/>
          <w:b/>
          <w:bCs/>
          <w:sz w:val="21"/>
          <w:szCs w:val="21"/>
          <w:highlight w:val="white"/>
        </w:rPr>
      </w:pPr>
    </w:p>
    <w:p w14:paraId="720F4136" w14:textId="77777777" w:rsidR="00E551BF" w:rsidRDefault="00AC5484">
      <w:pPr>
        <w:keepNext/>
        <w:widowControl w:val="0"/>
        <w:pBdr>
          <w:top w:val="nil"/>
          <w:left w:val="nil"/>
          <w:bottom w:val="nil"/>
          <w:right w:val="nil"/>
          <w:between w:val="nil"/>
        </w:pBdr>
        <w:ind w:right="-1220" w:firstLine="0"/>
        <w:rPr>
          <w:rFonts w:ascii="Titillium" w:eastAsia="Titillium" w:hAnsi="Titillium" w:cs="Titillium"/>
          <w:color w:val="000000"/>
          <w:sz w:val="21"/>
          <w:szCs w:val="21"/>
          <w:highlight w:val="white"/>
        </w:rPr>
      </w:pPr>
      <w:r>
        <w:rPr>
          <w:rFonts w:ascii="Titillium" w:eastAsia="Titillium" w:hAnsi="Titillium" w:cs="Titillium"/>
          <w:color w:val="000000"/>
          <w:sz w:val="21"/>
          <w:szCs w:val="21"/>
          <w:highlight w:val="white"/>
        </w:rPr>
        <w:tab/>
      </w:r>
      <w:r>
        <w:rPr>
          <w:rFonts w:ascii="Titillium" w:eastAsia="Titillium" w:hAnsi="Titillium" w:cs="Titillium"/>
          <w:color w:val="000000"/>
          <w:sz w:val="21"/>
          <w:szCs w:val="21"/>
          <w:highlight w:val="white"/>
        </w:rPr>
        <w:tab/>
      </w:r>
      <w:r>
        <w:rPr>
          <w:rFonts w:ascii="Titillium" w:eastAsia="Titillium" w:hAnsi="Titillium" w:cs="Titillium"/>
          <w:color w:val="000000"/>
          <w:sz w:val="21"/>
          <w:szCs w:val="21"/>
          <w:highlight w:val="white"/>
        </w:rPr>
        <w:tab/>
      </w:r>
      <w:r>
        <w:rPr>
          <w:rFonts w:ascii="Titillium" w:eastAsia="Titillium" w:hAnsi="Titillium" w:cs="Titillium"/>
          <w:color w:val="000000"/>
          <w:sz w:val="21"/>
          <w:szCs w:val="21"/>
          <w:highlight w:val="white"/>
        </w:rPr>
        <w:tab/>
      </w:r>
      <w:r>
        <w:rPr>
          <w:rFonts w:ascii="Titillium" w:eastAsia="Titillium" w:hAnsi="Titillium" w:cs="Titillium"/>
          <w:color w:val="000000"/>
          <w:sz w:val="21"/>
          <w:szCs w:val="21"/>
          <w:highlight w:val="white"/>
        </w:rPr>
        <w:tab/>
      </w:r>
      <w:r>
        <w:rPr>
          <w:rFonts w:ascii="Titillium" w:eastAsia="Titillium" w:hAnsi="Titillium" w:cs="Titillium"/>
          <w:color w:val="000000"/>
          <w:sz w:val="21"/>
          <w:szCs w:val="21"/>
          <w:highlight w:val="white"/>
        </w:rPr>
        <w:tab/>
      </w:r>
      <w:r>
        <w:rPr>
          <w:rFonts w:ascii="Titillium" w:eastAsia="Titillium" w:hAnsi="Titillium" w:cs="Titillium"/>
          <w:color w:val="000000"/>
          <w:sz w:val="21"/>
          <w:szCs w:val="21"/>
          <w:highlight w:val="white"/>
        </w:rPr>
        <w:tab/>
      </w:r>
      <w:r>
        <w:rPr>
          <w:rFonts w:ascii="Titillium" w:eastAsia="Titillium" w:hAnsi="Titillium" w:cs="Titillium"/>
          <w:color w:val="000000"/>
          <w:sz w:val="21"/>
          <w:szCs w:val="21"/>
          <w:highlight w:val="white"/>
        </w:rPr>
        <w:tab/>
      </w:r>
    </w:p>
    <w:p w14:paraId="4E45AB27" w14:textId="77777777" w:rsidR="00E551BF" w:rsidRDefault="00E551BF">
      <w:pPr>
        <w:keepNext/>
        <w:widowControl w:val="0"/>
        <w:pBdr>
          <w:top w:val="nil"/>
          <w:left w:val="nil"/>
          <w:bottom w:val="nil"/>
          <w:right w:val="nil"/>
          <w:between w:val="nil"/>
        </w:pBdr>
        <w:tabs>
          <w:tab w:val="left" w:pos="709"/>
        </w:tabs>
        <w:ind w:right="-1220" w:hanging="2"/>
        <w:jc w:val="center"/>
        <w:rPr>
          <w:rFonts w:ascii="Titillium" w:eastAsia="Titillium" w:hAnsi="Titillium" w:cs="Titillium"/>
          <w:color w:val="000000"/>
          <w:sz w:val="21"/>
          <w:szCs w:val="21"/>
          <w:highlight w:val="white"/>
        </w:rPr>
      </w:pPr>
    </w:p>
    <w:p w14:paraId="61C3DECB" w14:textId="77777777" w:rsidR="00E551BF" w:rsidRDefault="00E551BF">
      <w:pPr>
        <w:pBdr>
          <w:top w:val="nil"/>
          <w:left w:val="nil"/>
          <w:bottom w:val="nil"/>
          <w:right w:val="nil"/>
          <w:between w:val="nil"/>
        </w:pBdr>
        <w:ind w:right="-1220" w:hanging="2"/>
        <w:rPr>
          <w:rFonts w:ascii="Titillium" w:eastAsia="Titillium" w:hAnsi="Titillium" w:cs="Titillium"/>
          <w:color w:val="000000"/>
          <w:sz w:val="21"/>
          <w:szCs w:val="21"/>
          <w:highlight w:val="white"/>
        </w:rPr>
      </w:pPr>
    </w:p>
    <w:sectPr w:rsidR="00E551BF">
      <w:headerReference w:type="even" r:id="rId9"/>
      <w:headerReference w:type="default" r:id="rId10"/>
      <w:footerReference w:type="even" r:id="rId11"/>
      <w:footerReference w:type="default" r:id="rId12"/>
      <w:headerReference w:type="first" r:id="rId13"/>
      <w:footerReference w:type="first" r:id="rId14"/>
      <w:pgSz w:w="11906" w:h="16838"/>
      <w:pgMar w:top="1575" w:right="2835" w:bottom="1134" w:left="1644" w:header="28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06485" w14:textId="77777777" w:rsidR="00AC5484" w:rsidRDefault="00AC5484">
      <w:r>
        <w:separator/>
      </w:r>
    </w:p>
  </w:endnote>
  <w:endnote w:type="continuationSeparator" w:id="0">
    <w:p w14:paraId="0E390FDD" w14:textId="77777777" w:rsidR="00AC5484" w:rsidRDefault="00AC5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1798EA7-75DB-4361-A05E-39268E8049F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67130F8-2B40-4CE5-97DC-513657991A60}"/>
    <w:embedItalic r:id="rId3" w:fontKey="{C61C49F5-CB8E-4BBF-9D9D-BD9C5F7130CF}"/>
  </w:font>
  <w:font w:name="Times">
    <w:panose1 w:val="02020603050405020304"/>
    <w:charset w:val="00"/>
    <w:family w:val="roman"/>
    <w:pitch w:val="variable"/>
    <w:sig w:usb0="00000003" w:usb1="00000000" w:usb2="00000000" w:usb3="00000000" w:csb0="00000001" w:csb1="00000000"/>
    <w:embedRegular r:id="rId4" w:fontKey="{0509E4A9-02C9-4E22-B3CD-BCCC5D4B3DED}"/>
  </w:font>
  <w:font w:name="Cambria">
    <w:panose1 w:val="02040503050406030204"/>
    <w:charset w:val="00"/>
    <w:family w:val="roman"/>
    <w:pitch w:val="variable"/>
    <w:sig w:usb0="E00006FF" w:usb1="420024FF" w:usb2="02000000" w:usb3="00000000" w:csb0="0000019F" w:csb1="00000000"/>
    <w:embedRegular r:id="rId5" w:fontKey="{0F1E7815-809C-4249-A081-FAB663EB3A08}"/>
  </w:font>
  <w:font w:name="Georgia">
    <w:panose1 w:val="02040502050405020303"/>
    <w:charset w:val="00"/>
    <w:family w:val="roman"/>
    <w:pitch w:val="variable"/>
    <w:sig w:usb0="00000287" w:usb1="00000000" w:usb2="00000000" w:usb3="00000000" w:csb0="0000009F" w:csb1="00000000"/>
    <w:embedItalic r:id="rId6" w:fontKey="{A3A173A8-6D7C-4141-B89F-5EEFE818375A}"/>
  </w:font>
  <w:font w:name="Titillium">
    <w:altName w:val="Calibri"/>
    <w:charset w:val="00"/>
    <w:family w:val="auto"/>
    <w:pitch w:val="default"/>
  </w:font>
  <w:font w:name="Titilium">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ill Sans">
    <w:charset w:val="00"/>
    <w:family w:val="auto"/>
    <w:pitch w:val="default"/>
    <w:embedRegular r:id="rId7" w:fontKey="{A4ADC4B6-8074-41CB-9760-35A9F7FBC2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F3CED" w14:textId="77777777" w:rsidR="00E551BF" w:rsidRDefault="00E551BF">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201B8" w14:textId="77777777" w:rsidR="00E551BF" w:rsidRDefault="00AC5484">
    <w:pPr>
      <w:pBdr>
        <w:top w:val="nil"/>
        <w:left w:val="nil"/>
        <w:bottom w:val="nil"/>
        <w:right w:val="nil"/>
        <w:between w:val="nil"/>
      </w:pBdr>
      <w:ind w:hanging="2"/>
      <w:jc w:val="center"/>
      <w:rPr>
        <w:color w:val="000000"/>
      </w:rPr>
    </w:pPr>
    <w:r>
      <w:rPr>
        <w:color w:val="000000"/>
      </w:rPr>
      <w:t xml:space="preserve">Pag. </w:t>
    </w:r>
    <w:r>
      <w:rPr>
        <w:color w:val="000000"/>
      </w:rPr>
      <w:fldChar w:fldCharType="begin"/>
    </w:r>
    <w:r>
      <w:rPr>
        <w:color w:val="000000"/>
      </w:rPr>
      <w:instrText>PAGE</w:instrText>
    </w:r>
    <w:r>
      <w:rPr>
        <w:color w:val="000000"/>
      </w:rPr>
      <w:fldChar w:fldCharType="separate"/>
    </w:r>
    <w:r w:rsidR="000E338E">
      <w:rPr>
        <w:noProof/>
        <w:color w:val="000000"/>
      </w:rPr>
      <w:t>2</w:t>
    </w:r>
    <w:r>
      <w:rPr>
        <w:color w:val="000000"/>
      </w:rPr>
      <w:fldChar w:fldCharType="end"/>
    </w:r>
    <w:r>
      <w:rPr>
        <w:color w:val="000000"/>
      </w:rPr>
      <w:t xml:space="preserve"> di </w:t>
    </w:r>
    <w:r>
      <w:rPr>
        <w:color w:val="000000"/>
      </w:rPr>
      <w:fldChar w:fldCharType="begin"/>
    </w:r>
    <w:r>
      <w:rPr>
        <w:color w:val="000000"/>
      </w:rPr>
      <w:instrText>NUMPAGES</w:instrText>
    </w:r>
    <w:r>
      <w:rPr>
        <w:color w:val="000000"/>
      </w:rPr>
      <w:fldChar w:fldCharType="separate"/>
    </w:r>
    <w:r w:rsidR="000E338E">
      <w:rPr>
        <w:noProof/>
        <w:color w:val="000000"/>
      </w:rPr>
      <w:t>3</w:t>
    </w:r>
    <w:r>
      <w:rPr>
        <w:color w:val="000000"/>
      </w:rPr>
      <w:fldChar w:fldCharType="end"/>
    </w:r>
  </w:p>
  <w:p w14:paraId="4368CC3B" w14:textId="77777777" w:rsidR="00E551BF" w:rsidRDefault="00E551BF">
    <w:pPr>
      <w:pBdr>
        <w:top w:val="nil"/>
        <w:left w:val="nil"/>
        <w:bottom w:val="nil"/>
        <w:right w:val="nil"/>
        <w:between w:val="nil"/>
      </w:pBdr>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C8C2" w14:textId="77777777" w:rsidR="00E551BF" w:rsidRDefault="00E551BF">
    <w:pPr>
      <w:widowControl w:val="0"/>
      <w:pBdr>
        <w:top w:val="nil"/>
        <w:left w:val="nil"/>
        <w:bottom w:val="nil"/>
        <w:right w:val="nil"/>
        <w:between w:val="nil"/>
      </w:pBdr>
      <w:spacing w:line="276" w:lineRule="auto"/>
      <w:rPr>
        <w:color w:val="000000"/>
        <w:sz w:val="14"/>
        <w:szCs w:val="14"/>
      </w:rPr>
    </w:pPr>
  </w:p>
  <w:tbl>
    <w:tblPr>
      <w:tblStyle w:val="af"/>
      <w:tblW w:w="7425" w:type="dxa"/>
      <w:tblInd w:w="-108" w:type="dxa"/>
      <w:tblLayout w:type="fixed"/>
      <w:tblLook w:val="0000" w:firstRow="0" w:lastRow="0" w:firstColumn="0" w:lastColumn="0" w:noHBand="0" w:noVBand="0"/>
    </w:tblPr>
    <w:tblGrid>
      <w:gridCol w:w="2475"/>
      <w:gridCol w:w="2475"/>
      <w:gridCol w:w="2475"/>
    </w:tblGrid>
    <w:tr w:rsidR="00E551BF" w14:paraId="248A160D" w14:textId="77777777">
      <w:trPr>
        <w:trHeight w:val="300"/>
      </w:trPr>
      <w:tc>
        <w:tcPr>
          <w:tcW w:w="2475" w:type="dxa"/>
        </w:tcPr>
        <w:p w14:paraId="78049F07" w14:textId="77777777" w:rsidR="00E551BF" w:rsidRDefault="00E551BF">
          <w:pPr>
            <w:pBdr>
              <w:top w:val="nil"/>
              <w:left w:val="nil"/>
              <w:bottom w:val="nil"/>
              <w:right w:val="nil"/>
              <w:between w:val="nil"/>
            </w:pBdr>
            <w:spacing w:line="360" w:lineRule="auto"/>
            <w:rPr>
              <w:color w:val="000000"/>
              <w:sz w:val="14"/>
              <w:szCs w:val="14"/>
            </w:rPr>
          </w:pPr>
        </w:p>
      </w:tc>
      <w:tc>
        <w:tcPr>
          <w:tcW w:w="2475" w:type="dxa"/>
        </w:tcPr>
        <w:p w14:paraId="6455C69A" w14:textId="77777777" w:rsidR="00E551BF" w:rsidRDefault="00E551BF">
          <w:pPr>
            <w:pBdr>
              <w:top w:val="nil"/>
              <w:left w:val="nil"/>
              <w:bottom w:val="nil"/>
              <w:right w:val="nil"/>
              <w:between w:val="nil"/>
            </w:pBdr>
            <w:spacing w:line="360" w:lineRule="auto"/>
            <w:jc w:val="center"/>
            <w:rPr>
              <w:color w:val="000000"/>
              <w:sz w:val="14"/>
              <w:szCs w:val="14"/>
            </w:rPr>
          </w:pPr>
        </w:p>
      </w:tc>
      <w:tc>
        <w:tcPr>
          <w:tcW w:w="2475" w:type="dxa"/>
        </w:tcPr>
        <w:p w14:paraId="49B0F3E9" w14:textId="77777777" w:rsidR="00E551BF" w:rsidRDefault="00E551BF">
          <w:pPr>
            <w:pBdr>
              <w:top w:val="nil"/>
              <w:left w:val="nil"/>
              <w:bottom w:val="nil"/>
              <w:right w:val="nil"/>
              <w:between w:val="nil"/>
            </w:pBdr>
            <w:spacing w:line="360" w:lineRule="auto"/>
            <w:ind w:right="-115"/>
            <w:jc w:val="right"/>
            <w:rPr>
              <w:color w:val="000000"/>
              <w:sz w:val="14"/>
              <w:szCs w:val="14"/>
            </w:rPr>
          </w:pPr>
        </w:p>
      </w:tc>
    </w:tr>
  </w:tbl>
  <w:p w14:paraId="607CB37B" w14:textId="77777777" w:rsidR="00E551BF" w:rsidRDefault="00E551BF">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6AC07" w14:textId="77777777" w:rsidR="00AC5484" w:rsidRDefault="00AC5484">
      <w:r>
        <w:separator/>
      </w:r>
    </w:p>
  </w:footnote>
  <w:footnote w:type="continuationSeparator" w:id="0">
    <w:p w14:paraId="37CA9673" w14:textId="77777777" w:rsidR="00AC5484" w:rsidRDefault="00AC5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D9C16" w14:textId="77777777" w:rsidR="00E551BF" w:rsidRDefault="00E551BF">
    <w:pPr>
      <w:pBdr>
        <w:top w:val="nil"/>
        <w:left w:val="nil"/>
        <w:bottom w:val="nil"/>
        <w:right w:val="nil"/>
        <w:between w:val="nil"/>
      </w:pBdr>
      <w:ind w:hanging="2"/>
      <w:rPr>
        <w:color w:val="000000"/>
      </w:rPr>
    </w:pPr>
  </w:p>
  <w:tbl>
    <w:tblPr>
      <w:tblStyle w:val="ad"/>
      <w:tblW w:w="967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9"/>
      <w:gridCol w:w="5875"/>
    </w:tblGrid>
    <w:tr w:rsidR="00E551BF" w14:paraId="32C4843B" w14:textId="77777777">
      <w:trPr>
        <w:trHeight w:val="990"/>
      </w:trPr>
      <w:tc>
        <w:tcPr>
          <w:tcW w:w="3799" w:type="dxa"/>
          <w:vAlign w:val="center"/>
        </w:tcPr>
        <w:p w14:paraId="4AF9CD86" w14:textId="77777777" w:rsidR="00E551BF" w:rsidRDefault="00AC5484">
          <w:pPr>
            <w:keepNext/>
            <w:pBdr>
              <w:top w:val="nil"/>
              <w:left w:val="nil"/>
              <w:bottom w:val="nil"/>
              <w:right w:val="nil"/>
              <w:between w:val="nil"/>
            </w:pBdr>
            <w:spacing w:line="276" w:lineRule="auto"/>
            <w:ind w:hanging="2"/>
            <w:rPr>
              <w:rFonts w:ascii="Gill Sans" w:eastAsia="Gill Sans" w:hAnsi="Gill Sans" w:cs="Gill Sans"/>
              <w:color w:val="000000"/>
            </w:rPr>
          </w:pPr>
          <w:r>
            <w:rPr>
              <w:noProof/>
            </w:rPr>
            <w:drawing>
              <wp:anchor distT="0" distB="0" distL="0" distR="0" simplePos="0" relativeHeight="251658240" behindDoc="1" locked="0" layoutInCell="1" hidden="0" allowOverlap="1" wp14:anchorId="73BD31F5" wp14:editId="3C32809C">
                <wp:simplePos x="0" y="0"/>
                <wp:positionH relativeFrom="column">
                  <wp:posOffset>0</wp:posOffset>
                </wp:positionH>
                <wp:positionV relativeFrom="paragraph">
                  <wp:posOffset>71755</wp:posOffset>
                </wp:positionV>
                <wp:extent cx="974725" cy="543560"/>
                <wp:effectExtent l="0" t="0" r="0" b="0"/>
                <wp:wrapNone/>
                <wp:docPr id="19630662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74725" cy="543560"/>
                        </a:xfrm>
                        <a:prstGeom prst="rect">
                          <a:avLst/>
                        </a:prstGeom>
                        <a:ln/>
                      </pic:spPr>
                    </pic:pic>
                  </a:graphicData>
                </a:graphic>
              </wp:anchor>
            </w:drawing>
          </w:r>
          <w:r>
            <w:rPr>
              <w:noProof/>
            </w:rPr>
            <w:drawing>
              <wp:anchor distT="0" distB="0" distL="0" distR="0" simplePos="0" relativeHeight="251659264" behindDoc="1" locked="0" layoutInCell="1" hidden="0" allowOverlap="1" wp14:anchorId="787CBD35" wp14:editId="6473809B">
                <wp:simplePos x="0" y="0"/>
                <wp:positionH relativeFrom="column">
                  <wp:posOffset>1017905</wp:posOffset>
                </wp:positionH>
                <wp:positionV relativeFrom="paragraph">
                  <wp:posOffset>137160</wp:posOffset>
                </wp:positionV>
                <wp:extent cx="1274445" cy="381000"/>
                <wp:effectExtent l="0" t="0" r="0" b="0"/>
                <wp:wrapNone/>
                <wp:docPr id="196306626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274445" cy="381000"/>
                        </a:xfrm>
                        <a:prstGeom prst="rect">
                          <a:avLst/>
                        </a:prstGeom>
                        <a:ln/>
                      </pic:spPr>
                    </pic:pic>
                  </a:graphicData>
                </a:graphic>
              </wp:anchor>
            </w:drawing>
          </w:r>
        </w:p>
      </w:tc>
      <w:tc>
        <w:tcPr>
          <w:tcW w:w="5875" w:type="dxa"/>
          <w:vAlign w:val="center"/>
        </w:tcPr>
        <w:p w14:paraId="6C4E6172" w14:textId="77777777" w:rsidR="00E551BF" w:rsidRDefault="00AC5484">
          <w:pPr>
            <w:pBdr>
              <w:top w:val="nil"/>
              <w:left w:val="nil"/>
              <w:bottom w:val="nil"/>
              <w:right w:val="nil"/>
              <w:between w:val="nil"/>
            </w:pBdr>
            <w:ind w:hanging="2"/>
            <w:jc w:val="center"/>
            <w:rPr>
              <w:rFonts w:ascii="Arial" w:eastAsia="Arial" w:hAnsi="Arial" w:cs="Arial"/>
              <w:color w:val="000000"/>
              <w:sz w:val="18"/>
              <w:szCs w:val="18"/>
            </w:rPr>
          </w:pPr>
          <w:r>
            <w:rPr>
              <w:rFonts w:ascii="Arial" w:eastAsia="Arial" w:hAnsi="Arial" w:cs="Arial"/>
              <w:b/>
              <w:bCs/>
              <w:color w:val="000000"/>
              <w:sz w:val="18"/>
              <w:szCs w:val="18"/>
            </w:rPr>
            <w:t>Modello 2</w:t>
          </w:r>
        </w:p>
        <w:p w14:paraId="15FD5577" w14:textId="77777777" w:rsidR="00E551BF" w:rsidRDefault="00AC5484">
          <w:pPr>
            <w:pBdr>
              <w:top w:val="nil"/>
              <w:left w:val="nil"/>
              <w:bottom w:val="nil"/>
              <w:right w:val="nil"/>
              <w:between w:val="nil"/>
            </w:pBdr>
            <w:ind w:hanging="2"/>
            <w:jc w:val="center"/>
            <w:rPr>
              <w:rFonts w:ascii="Arial" w:eastAsia="Arial" w:hAnsi="Arial" w:cs="Arial"/>
              <w:color w:val="000000"/>
              <w:sz w:val="18"/>
              <w:szCs w:val="18"/>
            </w:rPr>
          </w:pPr>
          <w:r>
            <w:rPr>
              <w:rFonts w:ascii="Arial" w:eastAsia="Arial" w:hAnsi="Arial" w:cs="Arial"/>
              <w:b/>
              <w:bCs/>
              <w:color w:val="000000"/>
              <w:sz w:val="18"/>
              <w:szCs w:val="18"/>
            </w:rPr>
            <w:t xml:space="preserve">Dichiarazione sostitutiva certificazione di cui all’art. 89 del </w:t>
          </w:r>
          <w:proofErr w:type="spellStart"/>
          <w:r>
            <w:rPr>
              <w:rFonts w:ascii="Arial" w:eastAsia="Arial" w:hAnsi="Arial" w:cs="Arial"/>
              <w:b/>
              <w:bCs/>
              <w:color w:val="000000"/>
              <w:sz w:val="18"/>
              <w:szCs w:val="18"/>
            </w:rPr>
            <w:t>D.Lgs</w:t>
          </w:r>
          <w:proofErr w:type="spellEnd"/>
          <w:r>
            <w:rPr>
              <w:rFonts w:ascii="Arial" w:eastAsia="Arial" w:hAnsi="Arial" w:cs="Arial"/>
              <w:b/>
              <w:bCs/>
              <w:color w:val="000000"/>
              <w:sz w:val="18"/>
              <w:szCs w:val="18"/>
            </w:rPr>
            <w:t xml:space="preserve"> 159/2011 </w:t>
          </w:r>
          <w:r>
            <w:rPr>
              <w:rFonts w:ascii="Arial" w:eastAsia="Arial" w:hAnsi="Arial" w:cs="Arial"/>
              <w:i/>
              <w:iCs/>
              <w:color w:val="000000"/>
              <w:sz w:val="18"/>
              <w:szCs w:val="18"/>
            </w:rPr>
            <w:t>(Autocertificazione antimafia)</w:t>
          </w:r>
        </w:p>
      </w:tc>
    </w:tr>
  </w:tbl>
  <w:p w14:paraId="3811A8A5" w14:textId="77777777" w:rsidR="00E551BF" w:rsidRDefault="00E551BF">
    <w:pPr>
      <w:pBdr>
        <w:top w:val="nil"/>
        <w:left w:val="nil"/>
        <w:bottom w:val="nil"/>
        <w:right w:val="nil"/>
        <w:between w:val="nil"/>
      </w:pBdr>
      <w:spacing w:line="360" w:lineRule="auto"/>
      <w:jc w:val="both"/>
      <w:rPr>
        <w:color w:val="000000"/>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E9BE9" w14:textId="77777777" w:rsidR="00E551BF" w:rsidRDefault="00E551BF">
    <w:pPr>
      <w:widowControl w:val="0"/>
      <w:pBdr>
        <w:top w:val="nil"/>
        <w:left w:val="nil"/>
        <w:bottom w:val="nil"/>
        <w:right w:val="nil"/>
        <w:between w:val="nil"/>
      </w:pBdr>
      <w:spacing w:line="276" w:lineRule="auto"/>
      <w:rPr>
        <w:color w:val="000000"/>
        <w:sz w:val="14"/>
        <w:szCs w:val="14"/>
      </w:rPr>
    </w:pPr>
  </w:p>
  <w:p w14:paraId="4CC03F17" w14:textId="77777777" w:rsidR="00E551BF" w:rsidRDefault="00E551BF">
    <w:pPr>
      <w:pBdr>
        <w:top w:val="nil"/>
        <w:left w:val="nil"/>
        <w:bottom w:val="nil"/>
        <w:right w:val="nil"/>
        <w:between w:val="nil"/>
      </w:pBdr>
      <w:spacing w:line="360" w:lineRule="auto"/>
      <w:jc w:val="both"/>
      <w:rPr>
        <w:color w:val="000000"/>
        <w:sz w:val="14"/>
        <w:szCs w:val="14"/>
      </w:rPr>
    </w:pPr>
  </w:p>
  <w:p w14:paraId="06414288" w14:textId="77777777" w:rsidR="00E551BF" w:rsidRDefault="00E551BF">
    <w:pPr>
      <w:pBdr>
        <w:top w:val="nil"/>
        <w:left w:val="nil"/>
        <w:bottom w:val="nil"/>
        <w:right w:val="nil"/>
        <w:between w:val="nil"/>
      </w:pBdr>
      <w:spacing w:line="360" w:lineRule="auto"/>
      <w:jc w:val="both"/>
      <w:rPr>
        <w:color w:val="000000"/>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C2A8F" w14:textId="77777777" w:rsidR="00E551BF" w:rsidRDefault="00E551BF">
    <w:pPr>
      <w:widowControl w:val="0"/>
      <w:pBdr>
        <w:top w:val="nil"/>
        <w:left w:val="nil"/>
        <w:bottom w:val="nil"/>
        <w:right w:val="nil"/>
        <w:between w:val="nil"/>
      </w:pBdr>
      <w:spacing w:line="276" w:lineRule="auto"/>
      <w:rPr>
        <w:color w:val="000000"/>
        <w:sz w:val="14"/>
        <w:szCs w:val="14"/>
      </w:rPr>
    </w:pPr>
  </w:p>
  <w:tbl>
    <w:tblPr>
      <w:tblStyle w:val="ae"/>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3"/>
    </w:tblGrid>
    <w:tr w:rsidR="00E551BF" w14:paraId="5B0212D6" w14:textId="77777777">
      <w:trPr>
        <w:trHeight w:val="995"/>
      </w:trPr>
      <w:tc>
        <w:tcPr>
          <w:tcW w:w="4815" w:type="dxa"/>
          <w:tcBorders>
            <w:top w:val="nil"/>
            <w:left w:val="nil"/>
            <w:bottom w:val="nil"/>
            <w:right w:val="nil"/>
          </w:tcBorders>
          <w:vAlign w:val="center"/>
        </w:tcPr>
        <w:p w14:paraId="64298AE9" w14:textId="77777777" w:rsidR="00E551BF" w:rsidRDefault="00AC5484">
          <w:pPr>
            <w:widowControl/>
            <w:pBdr>
              <w:top w:val="nil"/>
              <w:left w:val="nil"/>
              <w:bottom w:val="nil"/>
              <w:right w:val="nil"/>
              <w:between w:val="nil"/>
            </w:pBdr>
            <w:spacing w:line="360" w:lineRule="auto"/>
            <w:ind w:hanging="1"/>
            <w:jc w:val="both"/>
            <w:rPr>
              <w:rFonts w:ascii="Calibri" w:eastAsia="Calibri" w:hAnsi="Calibri" w:cs="Calibri"/>
              <w:color w:val="000000"/>
              <w:sz w:val="14"/>
              <w:szCs w:val="14"/>
            </w:rPr>
          </w:pPr>
          <w:bookmarkStart w:id="10" w:name="_heading=h.yezwfv2zp8p" w:colFirst="0" w:colLast="0"/>
          <w:bookmarkEnd w:id="10"/>
          <w:r>
            <w:rPr>
              <w:noProof/>
              <w:color w:val="000000"/>
              <w:sz w:val="14"/>
              <w:szCs w:val="14"/>
            </w:rPr>
            <w:drawing>
              <wp:inline distT="0" distB="0" distL="0" distR="0" wp14:anchorId="3E1998F2" wp14:editId="770D3F32">
                <wp:extent cx="2710180" cy="408940"/>
                <wp:effectExtent l="0" t="0" r="0" b="0"/>
                <wp:docPr id="1963066261" name="image2.pn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10;&#10;Descrizione generata automaticamente"/>
                        <pic:cNvPicPr preferRelativeResize="0"/>
                      </pic:nvPicPr>
                      <pic:blipFill>
                        <a:blip r:embed="rId1"/>
                        <a:srcRect/>
                        <a:stretch>
                          <a:fillRect/>
                        </a:stretch>
                      </pic:blipFill>
                      <pic:spPr>
                        <a:xfrm>
                          <a:off x="0" y="0"/>
                          <a:ext cx="2710180" cy="408940"/>
                        </a:xfrm>
                        <a:prstGeom prst="rect">
                          <a:avLst/>
                        </a:prstGeom>
                        <a:ln/>
                      </pic:spPr>
                    </pic:pic>
                  </a:graphicData>
                </a:graphic>
              </wp:inline>
            </w:drawing>
          </w:r>
        </w:p>
      </w:tc>
      <w:tc>
        <w:tcPr>
          <w:tcW w:w="4813" w:type="dxa"/>
          <w:tcBorders>
            <w:top w:val="nil"/>
            <w:left w:val="nil"/>
            <w:bottom w:val="nil"/>
            <w:right w:val="nil"/>
          </w:tcBorders>
          <w:vAlign w:val="bottom"/>
        </w:tcPr>
        <w:p w14:paraId="28C2FA1E" w14:textId="77777777" w:rsidR="00E551BF" w:rsidRDefault="00AC5484">
          <w:pPr>
            <w:widowControl/>
            <w:pBdr>
              <w:top w:val="nil"/>
              <w:left w:val="nil"/>
              <w:bottom w:val="nil"/>
              <w:right w:val="nil"/>
              <w:between w:val="nil"/>
            </w:pBdr>
            <w:spacing w:line="360" w:lineRule="auto"/>
            <w:ind w:hanging="1"/>
            <w:jc w:val="right"/>
            <w:rPr>
              <w:rFonts w:ascii="Calibri" w:eastAsia="Calibri" w:hAnsi="Calibri" w:cs="Calibri"/>
              <w:color w:val="000000"/>
              <w:sz w:val="14"/>
              <w:szCs w:val="14"/>
            </w:rPr>
          </w:pPr>
          <w:r>
            <w:rPr>
              <w:noProof/>
              <w:color w:val="000000"/>
              <w:sz w:val="14"/>
              <w:szCs w:val="14"/>
            </w:rPr>
            <w:drawing>
              <wp:inline distT="0" distB="0" distL="0" distR="0" wp14:anchorId="523E65B6" wp14:editId="3ED0DD65">
                <wp:extent cx="628650" cy="735330"/>
                <wp:effectExtent l="0" t="0" r="0" b="0"/>
                <wp:docPr id="19630662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28650" cy="735330"/>
                        </a:xfrm>
                        <a:prstGeom prst="rect">
                          <a:avLst/>
                        </a:prstGeom>
                        <a:ln/>
                      </pic:spPr>
                    </pic:pic>
                  </a:graphicData>
                </a:graphic>
              </wp:inline>
            </w:drawing>
          </w:r>
        </w:p>
      </w:tc>
    </w:tr>
  </w:tbl>
  <w:p w14:paraId="79996F95" w14:textId="77777777" w:rsidR="00E551BF" w:rsidRDefault="00E551BF">
    <w:pPr>
      <w:pBdr>
        <w:top w:val="nil"/>
        <w:left w:val="nil"/>
        <w:bottom w:val="nil"/>
        <w:right w:val="nil"/>
        <w:between w:val="nil"/>
      </w:pBdr>
      <w:spacing w:line="360" w:lineRule="auto"/>
      <w:ind w:left="-285"/>
      <w:jc w:val="both"/>
      <w:rPr>
        <w:color w:val="000000"/>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4C232B"/>
    <w:multiLevelType w:val="multilevel"/>
    <w:tmpl w:val="BC94F00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513211E"/>
    <w:multiLevelType w:val="multilevel"/>
    <w:tmpl w:val="4B6832F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CB3431E"/>
    <w:multiLevelType w:val="multilevel"/>
    <w:tmpl w:val="1DD24CF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E5F61CF"/>
    <w:multiLevelType w:val="multilevel"/>
    <w:tmpl w:val="280A7DE4"/>
    <w:lvl w:ilvl="0">
      <w:start w:val="1"/>
      <w:numFmt w:val="lowerLetter"/>
      <w:lvlText w:val="%1."/>
      <w:lvlJc w:val="left"/>
      <w:pPr>
        <w:ind w:left="775" w:hanging="360"/>
      </w:pPr>
      <w:rPr>
        <w:vertAlign w:val="baseline"/>
      </w:rPr>
    </w:lvl>
    <w:lvl w:ilvl="1">
      <w:start w:val="1"/>
      <w:numFmt w:val="lowerLetter"/>
      <w:lvlText w:val="%2."/>
      <w:lvlJc w:val="left"/>
      <w:pPr>
        <w:ind w:left="1495" w:hanging="360"/>
      </w:pPr>
      <w:rPr>
        <w:vertAlign w:val="baseline"/>
      </w:rPr>
    </w:lvl>
    <w:lvl w:ilvl="2">
      <w:start w:val="1"/>
      <w:numFmt w:val="lowerRoman"/>
      <w:lvlText w:val="%3."/>
      <w:lvlJc w:val="right"/>
      <w:pPr>
        <w:ind w:left="2215" w:hanging="180"/>
      </w:pPr>
      <w:rPr>
        <w:vertAlign w:val="baseline"/>
      </w:rPr>
    </w:lvl>
    <w:lvl w:ilvl="3">
      <w:start w:val="1"/>
      <w:numFmt w:val="decimal"/>
      <w:lvlText w:val="%4."/>
      <w:lvlJc w:val="left"/>
      <w:pPr>
        <w:ind w:left="2935" w:hanging="360"/>
      </w:pPr>
      <w:rPr>
        <w:vertAlign w:val="baseline"/>
      </w:rPr>
    </w:lvl>
    <w:lvl w:ilvl="4">
      <w:start w:val="1"/>
      <w:numFmt w:val="lowerLetter"/>
      <w:lvlText w:val="%5."/>
      <w:lvlJc w:val="left"/>
      <w:pPr>
        <w:ind w:left="3655" w:hanging="360"/>
      </w:pPr>
      <w:rPr>
        <w:vertAlign w:val="baseline"/>
      </w:rPr>
    </w:lvl>
    <w:lvl w:ilvl="5">
      <w:start w:val="1"/>
      <w:numFmt w:val="lowerRoman"/>
      <w:lvlText w:val="%6."/>
      <w:lvlJc w:val="right"/>
      <w:pPr>
        <w:ind w:left="4375" w:hanging="180"/>
      </w:pPr>
      <w:rPr>
        <w:vertAlign w:val="baseline"/>
      </w:rPr>
    </w:lvl>
    <w:lvl w:ilvl="6">
      <w:start w:val="1"/>
      <w:numFmt w:val="decimal"/>
      <w:lvlText w:val="%7."/>
      <w:lvlJc w:val="left"/>
      <w:pPr>
        <w:ind w:left="5095" w:hanging="360"/>
      </w:pPr>
      <w:rPr>
        <w:vertAlign w:val="baseline"/>
      </w:rPr>
    </w:lvl>
    <w:lvl w:ilvl="7">
      <w:start w:val="1"/>
      <w:numFmt w:val="lowerLetter"/>
      <w:lvlText w:val="%8."/>
      <w:lvlJc w:val="left"/>
      <w:pPr>
        <w:ind w:left="5815" w:hanging="360"/>
      </w:pPr>
      <w:rPr>
        <w:vertAlign w:val="baseline"/>
      </w:rPr>
    </w:lvl>
    <w:lvl w:ilvl="8">
      <w:start w:val="1"/>
      <w:numFmt w:val="lowerRoman"/>
      <w:lvlText w:val="%9."/>
      <w:lvlJc w:val="right"/>
      <w:pPr>
        <w:ind w:left="6535" w:hanging="180"/>
      </w:pPr>
      <w:rPr>
        <w:vertAlign w:val="baseline"/>
      </w:rPr>
    </w:lvl>
  </w:abstractNum>
  <w:abstractNum w:abstractNumId="4" w15:restartNumberingAfterBreak="0">
    <w:nsid w:val="75866267"/>
    <w:multiLevelType w:val="multilevel"/>
    <w:tmpl w:val="A57281A2"/>
    <w:lvl w:ilvl="0">
      <w:start w:val="1"/>
      <w:numFmt w:val="decimal"/>
      <w:lvlText w:val="%1)"/>
      <w:lvlJc w:val="left"/>
      <w:pPr>
        <w:ind w:left="113" w:hanging="113"/>
      </w:pPr>
      <w:rPr>
        <w:b/>
        <w:bCs/>
        <w:i/>
        <w:iCs/>
        <w:color w:val="000000"/>
        <w:sz w:val="22"/>
        <w:szCs w:val="22"/>
        <w:vertAlign w:val="baseline"/>
      </w:rPr>
    </w:lvl>
    <w:lvl w:ilvl="1">
      <w:start w:val="1"/>
      <w:numFmt w:val="lowerLetter"/>
      <w:lvlText w:val="%2)"/>
      <w:lvlJc w:val="left"/>
      <w:pPr>
        <w:ind w:left="284" w:hanging="171"/>
      </w:pPr>
      <w:rPr>
        <w:b/>
        <w:bCs/>
        <w:color w:val="00000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761731FD"/>
    <w:multiLevelType w:val="multilevel"/>
    <w:tmpl w:val="C726845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110785992">
    <w:abstractNumId w:val="0"/>
  </w:num>
  <w:num w:numId="2" w16cid:durableId="1716545677">
    <w:abstractNumId w:val="1"/>
  </w:num>
  <w:num w:numId="3" w16cid:durableId="350762269">
    <w:abstractNumId w:val="2"/>
  </w:num>
  <w:num w:numId="4" w16cid:durableId="508787335">
    <w:abstractNumId w:val="5"/>
  </w:num>
  <w:num w:numId="5" w16cid:durableId="700713920">
    <w:abstractNumId w:val="3"/>
  </w:num>
  <w:num w:numId="6" w16cid:durableId="6427786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1BF"/>
    <w:rsid w:val="000E338E"/>
    <w:rsid w:val="00AC5484"/>
    <w:rsid w:val="00E551BF"/>
    <w:rsid w:val="00FA5DD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12817"/>
  <w15:docId w15:val="{616D44A4-C42A-4D0D-B868-BD15DFE50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widowControl w:val="0"/>
      <w:jc w:val="center"/>
      <w:outlineLvl w:val="0"/>
    </w:pPr>
    <w:rPr>
      <w:b/>
      <w:bCs/>
      <w:sz w:val="22"/>
      <w:szCs w:val="22"/>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paragraph" w:styleId="Titolo7">
    <w:name w:val="heading 7"/>
    <w:aliases w:val="SD-DE"/>
    <w:link w:val="Titolo7Carattere"/>
    <w:unhideWhenUsed/>
    <w:qFormat/>
    <w:rsid w:val="001301A0"/>
    <w:pPr>
      <w:keepNext/>
      <w:keepLines/>
      <w:spacing w:before="40"/>
      <w:ind w:left="5040" w:right="270" w:hanging="360"/>
      <w:jc w:val="both"/>
      <w:textAlignment w:val="baseline"/>
      <w:outlineLvl w:val="6"/>
    </w:pPr>
    <w:rPr>
      <w:rFonts w:asciiTheme="majorHAnsi" w:eastAsiaTheme="majorEastAsia" w:hAnsiTheme="majorHAnsi" w:cstheme="majorBidi"/>
      <w:i/>
      <w:iCs/>
      <w:color w:val="243F60" w:themeColor="accent1" w:themeShade="7F"/>
      <w:sz w:val="24"/>
      <w:szCs w:val="24"/>
    </w:rPr>
  </w:style>
  <w:style w:type="paragraph" w:styleId="Titolo8">
    <w:name w:val="heading 8"/>
    <w:aliases w:val="SD-OP"/>
    <w:link w:val="Titolo8Carattere"/>
    <w:unhideWhenUsed/>
    <w:qFormat/>
    <w:rsid w:val="001301A0"/>
    <w:pPr>
      <w:keepNext/>
      <w:keepLines/>
      <w:spacing w:before="40"/>
      <w:ind w:left="5760" w:right="270" w:hanging="360"/>
      <w:jc w:val="both"/>
      <w:textAlignment w:val="baseline"/>
      <w:outlineLvl w:val="7"/>
    </w:pPr>
    <w:rPr>
      <w:rFonts w:asciiTheme="majorHAnsi" w:eastAsiaTheme="majorEastAsia" w:hAnsiTheme="majorHAnsi" w:cstheme="majorBidi"/>
      <w:color w:val="272727" w:themeColor="text1" w:themeTint="D8"/>
      <w:sz w:val="21"/>
      <w:szCs w:val="21"/>
    </w:rPr>
  </w:style>
  <w:style w:type="paragraph" w:styleId="Titolo9">
    <w:name w:val="heading 9"/>
    <w:link w:val="Titolo9Carattere"/>
    <w:unhideWhenUsed/>
    <w:qFormat/>
    <w:rsid w:val="001301A0"/>
    <w:pPr>
      <w:keepNext/>
      <w:keepLines/>
      <w:spacing w:before="40"/>
      <w:ind w:left="6480" w:right="270" w:hanging="360"/>
      <w:jc w:val="both"/>
      <w:textAlignment w:val="baseline"/>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itolo1Carattere">
    <w:name w:val="Titolo 1 Carattere"/>
    <w:rPr>
      <w:rFonts w:ascii="Times New Roman" w:eastAsia="Times New Roman" w:hAnsi="Times New Roman" w:cs="Times New Roman"/>
      <w:b/>
      <w:w w:val="100"/>
      <w:position w:val="-1"/>
      <w:szCs w:val="20"/>
      <w:effect w:val="none"/>
      <w:vertAlign w:val="baseline"/>
      <w:cs w:val="0"/>
      <w:em w:val="none"/>
      <w:lang w:val="it-IT" w:eastAsia="it-IT"/>
    </w:rPr>
  </w:style>
  <w:style w:type="paragraph" w:styleId="Intestazione">
    <w:name w:val="header"/>
    <w:uiPriority w:val="99"/>
    <w:pPr>
      <w:spacing w:line="360" w:lineRule="auto"/>
      <w:jc w:val="both"/>
    </w:pPr>
    <w:rPr>
      <w:sz w:val="14"/>
    </w:rPr>
  </w:style>
  <w:style w:type="character" w:customStyle="1" w:styleId="IntestazioneCarattere">
    <w:name w:val="Intestazione Carattere"/>
    <w:uiPriority w:val="99"/>
    <w:qFormat/>
    <w:rPr>
      <w:rFonts w:ascii="Times New Roman" w:eastAsia="Times New Roman" w:hAnsi="Times New Roman" w:cs="Times New Roman"/>
      <w:w w:val="100"/>
      <w:position w:val="-1"/>
      <w:sz w:val="14"/>
      <w:szCs w:val="20"/>
      <w:effect w:val="none"/>
      <w:vertAlign w:val="baseline"/>
      <w:cs w:val="0"/>
      <w:em w:val="none"/>
      <w:lang w:val="it-IT" w:eastAsia="it-IT"/>
    </w:rPr>
  </w:style>
  <w:style w:type="paragraph" w:styleId="Pidipagina">
    <w:name w:val="footer"/>
  </w:style>
  <w:style w:type="character" w:customStyle="1" w:styleId="PidipaginaCarattere">
    <w:name w:val="Piè di pagina Carattere"/>
    <w:rPr>
      <w:rFonts w:ascii="Times New Roman" w:eastAsia="Times New Roman" w:hAnsi="Times New Roman" w:cs="Times New Roman"/>
      <w:w w:val="100"/>
      <w:position w:val="-1"/>
      <w:sz w:val="20"/>
      <w:szCs w:val="20"/>
      <w:effect w:val="none"/>
      <w:vertAlign w:val="baseline"/>
      <w:cs w:val="0"/>
      <w:em w:val="none"/>
      <w:lang w:val="it-IT" w:eastAsia="it-IT"/>
    </w:rPr>
  </w:style>
  <w:style w:type="paragraph" w:styleId="Testodelblocco">
    <w:name w:val="Block Text"/>
    <w:pPr>
      <w:spacing w:line="480" w:lineRule="atLeast"/>
      <w:ind w:left="1276" w:right="1134"/>
      <w:jc w:val="both"/>
    </w:pPr>
    <w:rPr>
      <w:b/>
      <w:sz w:val="24"/>
    </w:rPr>
  </w:style>
  <w:style w:type="character" w:styleId="Collegamentoipertestuale">
    <w:name w:val="Hyperlink"/>
    <w:rPr>
      <w:color w:val="0000FF"/>
      <w:w w:val="100"/>
      <w:position w:val="-1"/>
      <w:u w:val="single"/>
      <w:effect w:val="none"/>
      <w:vertAlign w:val="baseline"/>
      <w:cs w:val="0"/>
      <w:em w:val="none"/>
    </w:rPr>
  </w:style>
  <w:style w:type="numbering" w:customStyle="1" w:styleId="StileTestodelblocco11ptNonGrassettoDestro-015cmInt">
    <w:name w:val="Stile Testo del blocco + 11 pt Non Grassetto Destro -015 cm Int..."/>
    <w:basedOn w:val="Nessunelenco"/>
  </w:style>
  <w:style w:type="paragraph" w:customStyle="1" w:styleId="Corpodeltesto21">
    <w:name w:val="Corpo del testo 21"/>
    <w:pPr>
      <w:autoSpaceDE w:val="0"/>
      <w:spacing w:line="360" w:lineRule="auto"/>
      <w:ind w:left="284" w:hanging="284"/>
      <w:jc w:val="both"/>
    </w:pPr>
    <w:rPr>
      <w:rFonts w:ascii="Courier New" w:hAnsi="Courier New" w:cs="Courier New"/>
      <w:sz w:val="24"/>
      <w:szCs w:val="24"/>
      <w:lang w:eastAsia="ar-SA"/>
    </w:rPr>
  </w:style>
  <w:style w:type="paragraph" w:styleId="NormaleWeb">
    <w:name w:val="Normal (Web)"/>
    <w:qFormat/>
    <w:pPr>
      <w:spacing w:before="100" w:beforeAutospacing="1" w:after="100" w:afterAutospacing="1"/>
    </w:pPr>
    <w:rPr>
      <w:rFonts w:ascii="Times" w:hAnsi="Times"/>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left w:w="108" w:type="dxa"/>
        <w:right w:w="108" w:type="dxa"/>
      </w:tblCellMar>
    </w:tbl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paragraph" w:styleId="Paragrafoelenco">
    <w:name w:val="List Paragraph"/>
    <w:uiPriority w:val="34"/>
    <w:qFormat/>
    <w:rsid w:val="00B81CFB"/>
    <w:pPr>
      <w:ind w:left="720"/>
      <w:contextualSpacing/>
    </w:p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styleId="Grigliatabella">
    <w:name w:val="Table Grid"/>
    <w:basedOn w:val="Tabellanormale"/>
    <w:uiPriority w:val="39"/>
    <w:rsid w:val="004E7D16"/>
    <w:pPr>
      <w:widowControl w:val="0"/>
      <w:ind w:firstLine="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aliases w:val="SD-DE Carattere"/>
    <w:basedOn w:val="Carpredefinitoparagrafo"/>
    <w:link w:val="Titolo7"/>
    <w:rsid w:val="001301A0"/>
    <w:rPr>
      <w:rFonts w:asciiTheme="majorHAnsi" w:eastAsiaTheme="majorEastAsia" w:hAnsiTheme="majorHAnsi" w:cstheme="majorBidi"/>
      <w:i/>
      <w:iCs/>
      <w:color w:val="243F60" w:themeColor="accent1" w:themeShade="7F"/>
      <w:sz w:val="24"/>
      <w:szCs w:val="24"/>
    </w:rPr>
  </w:style>
  <w:style w:type="character" w:customStyle="1" w:styleId="Titolo8Carattere">
    <w:name w:val="Titolo 8 Carattere"/>
    <w:aliases w:val="SD-OP Carattere"/>
    <w:basedOn w:val="Carpredefinitoparagrafo"/>
    <w:link w:val="Titolo8"/>
    <w:rsid w:val="001301A0"/>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rsid w:val="001301A0"/>
    <w:rPr>
      <w:rFonts w:asciiTheme="majorHAnsi" w:eastAsiaTheme="majorEastAsia" w:hAnsiTheme="majorHAnsi" w:cstheme="majorBidi"/>
      <w:i/>
      <w:iCs/>
      <w:color w:val="272727" w:themeColor="text1" w:themeTint="D8"/>
      <w:sz w:val="21"/>
      <w:szCs w:val="21"/>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pPr>
      <w:widowControl w:val="0"/>
      <w:ind w:firstLine="0"/>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osettiegatti.eu/info/norme/statali/2022_0078.ht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Yl2yJ+/q3DxNAJYkhjnMLScdZw==">CgMxLjAyDmgubHkyc2JoMng5bTFyMg5oLnQyaWhqZ28wdGdtZTIOaC41MWV0OG8yMm9zdGwyDmgudWY5NDhjeG93bTdsMg5oLmJ6ZXVjcmFucGFxNjIOaC5zeGp4OTNlamxkaGcyDmguc2Y5YXZkZW9ycDZoMg5oLnRldnhud3hzYXRzdDIOaC5obm92YTlia2JkNXEyDmguZm0wb2lpdGRzdmZjMg5oLmZtMG9paXRkc3ZmYzINaC55ZXp3ZnYyenA4cDgAciExeGQ4UXhsdndvYXQzVVhJWHpWc3ViUzBnWHZlTzAtS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4021</Words>
  <Characters>22921</Characters>
  <Application>Microsoft Office Word</Application>
  <DocSecurity>0</DocSecurity>
  <Lines>191</Lines>
  <Paragraphs>53</Paragraphs>
  <ScaleCrop>false</ScaleCrop>
  <Company/>
  <LinksUpToDate>false</LinksUpToDate>
  <CharactersWithSpaces>26889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Zucchini</dc:creator>
  <cp:lastModifiedBy>Antonella Traversi</cp:lastModifiedBy>
  <cp:revision>2</cp:revision>
  <dcterms:created xsi:type="dcterms:W3CDTF">2025-03-17T09:46:00Z</dcterms:created>
  <dcterms:modified xsi:type="dcterms:W3CDTF">2026-03-02T10:48:00Z</dcterms:modified>
</cp:coreProperties>
</file>