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41FE" w14:textId="77777777" w:rsidR="004B29C0" w:rsidRDefault="004B29C0" w:rsidP="004B29C0">
      <w:pPr>
        <w:ind w:right="424"/>
        <w:jc w:val="both"/>
        <w:rPr>
          <w:rFonts w:ascii="Titillium" w:eastAsia="Titillium" w:hAnsi="Titillium" w:cs="Titillium"/>
          <w:sz w:val="21"/>
          <w:szCs w:val="21"/>
        </w:rPr>
      </w:pPr>
    </w:p>
    <w:p w14:paraId="1C58778E" w14:textId="77777777" w:rsidR="00A95FBC" w:rsidRPr="00A95FBC" w:rsidRDefault="00A95FBC" w:rsidP="00A95FBC">
      <w:pPr>
        <w:ind w:left="567" w:right="424" w:hanging="2"/>
        <w:jc w:val="both"/>
        <w:rPr>
          <w:rFonts w:ascii="Arial" w:hAnsi="Arial" w:cs="Arial"/>
          <w:b/>
          <w:bCs/>
          <w:sz w:val="20"/>
          <w:szCs w:val="20"/>
        </w:rPr>
      </w:pPr>
      <w:bookmarkStart w:id="0" w:name="_Hlk146030828"/>
      <w:r w:rsidRPr="00A95FBC">
        <w:rPr>
          <w:rFonts w:ascii="Arial" w:hAnsi="Arial" w:cs="Arial"/>
          <w:b/>
          <w:bCs/>
          <w:sz w:val="20"/>
          <w:szCs w:val="20"/>
        </w:rPr>
        <w:t xml:space="preserve">PROCEDURA APERTA SOPRA    SOGLIA    COMUNITARIA    SU    PIATTAFORMA TELEMATICA U-BUY AI SENSI DELL’ART. 71 DEL DECRETO LEGISLATIVO N. 36/2023 E SS.MM.II. PER LA </w:t>
      </w:r>
      <w:bookmarkStart w:id="1" w:name="_Hlk199516083"/>
      <w:r w:rsidRPr="00A95FBC">
        <w:rPr>
          <w:rFonts w:ascii="Arial" w:hAnsi="Arial" w:cs="Arial"/>
          <w:b/>
          <w:bCs/>
          <w:sz w:val="20"/>
          <w:szCs w:val="20"/>
        </w:rPr>
        <w:t>PROGETTAZIONE, REALIZZAZIONE E FORNITURA DI ‘’SCHEDE DI ELETTRONICA PER PROTOTIPO DI STRUMENTO PER LA MISURA DEL CAMPO ELETTRICO E DEL PLASMA SPAZIALE</w:t>
      </w:r>
      <w:bookmarkEnd w:id="1"/>
      <w:r w:rsidRPr="00A95FBC">
        <w:rPr>
          <w:rFonts w:ascii="Arial" w:hAnsi="Arial" w:cs="Arial"/>
          <w:b/>
          <w:bCs/>
          <w:sz w:val="20"/>
          <w:szCs w:val="20"/>
        </w:rPr>
        <w:t xml:space="preserve">” CON IL CRITERIO    DELL’OFFERTA ECONOMICAMENTE PIU’ VANTAGGIOSA, SULLA BASE DEL MIGLIOR RAPPORTO QUALITA’/PREZZO, PER IL PROGETTO DAL TITOLO “SPACEITUP – SPOKE 5", FUNZIONI OBIETTIVO 1.05.04.86.02 CODICE UNICO DI PROGETTO: C53C24000360005 </w:t>
      </w:r>
    </w:p>
    <w:p w14:paraId="08EF5157" w14:textId="77777777" w:rsidR="00A95FBC" w:rsidRPr="00A95FBC" w:rsidRDefault="00A95FBC" w:rsidP="00A95FBC">
      <w:pPr>
        <w:ind w:left="567" w:right="424" w:hanging="2"/>
        <w:jc w:val="both"/>
        <w:rPr>
          <w:rFonts w:ascii="Arial" w:hAnsi="Arial" w:cs="Arial"/>
          <w:b/>
          <w:bCs/>
          <w:sz w:val="20"/>
          <w:szCs w:val="20"/>
        </w:rPr>
      </w:pPr>
      <w:r w:rsidRPr="00A95FBC">
        <w:rPr>
          <w:rFonts w:ascii="Arial" w:hAnsi="Arial" w:cs="Arial"/>
          <w:b/>
          <w:bCs/>
          <w:sz w:val="20"/>
          <w:szCs w:val="20"/>
        </w:rPr>
        <w:t>CODICE DELLA PROCEDURA: G02321</w:t>
      </w:r>
    </w:p>
    <w:bookmarkEnd w:id="0"/>
    <w:p w14:paraId="62C0D4E1" w14:textId="77777777" w:rsidR="00A95FBC" w:rsidRPr="00A95FBC" w:rsidRDefault="00A95FBC" w:rsidP="004B29C0">
      <w:pPr>
        <w:ind w:right="424"/>
        <w:jc w:val="both"/>
        <w:rPr>
          <w:rFonts w:ascii="Titillium" w:eastAsia="Titillium" w:hAnsi="Titillium" w:cs="Titillium"/>
          <w:sz w:val="20"/>
          <w:szCs w:val="20"/>
        </w:rPr>
      </w:pPr>
    </w:p>
    <w:p w14:paraId="78CE45CB" w14:textId="77777777" w:rsidR="00A95FBC" w:rsidRDefault="00A95FBC" w:rsidP="004B29C0">
      <w:pPr>
        <w:ind w:right="424"/>
        <w:jc w:val="both"/>
        <w:rPr>
          <w:rFonts w:ascii="Titillium" w:eastAsia="Titillium" w:hAnsi="Titillium" w:cs="Titillium"/>
          <w:sz w:val="21"/>
          <w:szCs w:val="21"/>
        </w:rPr>
      </w:pPr>
    </w:p>
    <w:p w14:paraId="3FCFF2AE" w14:textId="77777777" w:rsidR="004B29C0" w:rsidRDefault="004B29C0" w:rsidP="004B29C0">
      <w:pPr>
        <w:ind w:right="424"/>
        <w:jc w:val="both"/>
        <w:rPr>
          <w:rFonts w:ascii="Titillium" w:eastAsia="Titillium" w:hAnsi="Titillium" w:cs="Titillium"/>
          <w:sz w:val="21"/>
          <w:szCs w:val="21"/>
        </w:rPr>
      </w:pPr>
    </w:p>
    <w:p w14:paraId="2349F0D6" w14:textId="77777777" w:rsidR="00484EE5" w:rsidRDefault="00484EE5" w:rsidP="00484EE5">
      <w:pPr>
        <w:spacing w:line="360" w:lineRule="auto"/>
        <w:ind w:right="424"/>
        <w:jc w:val="both"/>
        <w:rPr>
          <w:rFonts w:ascii="Titillium" w:eastAsia="Titillium" w:hAnsi="Titillium" w:cs="Titillium"/>
          <w:sz w:val="21"/>
          <w:szCs w:val="21"/>
        </w:rPr>
      </w:pPr>
    </w:p>
    <w:p w14:paraId="7CE4507F" w14:textId="77777777" w:rsidR="00484EE5" w:rsidRDefault="00484EE5" w:rsidP="00484EE5">
      <w:pPr>
        <w:spacing w:line="360" w:lineRule="auto"/>
        <w:ind w:right="424"/>
        <w:jc w:val="center"/>
        <w:rPr>
          <w:rFonts w:ascii="Titillium" w:eastAsia="Titillium" w:hAnsi="Titillium" w:cs="Titillium"/>
          <w:sz w:val="21"/>
          <w:szCs w:val="21"/>
        </w:rPr>
      </w:pPr>
      <w:r w:rsidRPr="00484EE5">
        <w:rPr>
          <w:rFonts w:ascii="Titillium" w:eastAsia="Titillium" w:hAnsi="Titillium" w:cs="Titillium"/>
          <w:b/>
          <w:sz w:val="21"/>
          <w:szCs w:val="21"/>
        </w:rPr>
        <w:t>Dichiarazione avvalimento ausiliaria</w:t>
      </w:r>
      <w:r w:rsidRPr="00484EE5">
        <w:rPr>
          <w:rFonts w:ascii="Titillium" w:eastAsia="Titillium" w:hAnsi="Titillium" w:cs="Titillium"/>
          <w:sz w:val="21"/>
          <w:szCs w:val="21"/>
        </w:rPr>
        <w:t xml:space="preserve"> </w:t>
      </w:r>
    </w:p>
    <w:p w14:paraId="310E4D56" w14:textId="7942E408" w:rsidR="00484EE5" w:rsidRDefault="00484EE5" w:rsidP="00484EE5">
      <w:pPr>
        <w:spacing w:line="360" w:lineRule="auto"/>
        <w:ind w:right="424"/>
        <w:jc w:val="center"/>
        <w:rPr>
          <w:rFonts w:ascii="Titillium" w:eastAsia="Titillium" w:hAnsi="Titillium" w:cs="Titillium"/>
          <w:sz w:val="21"/>
          <w:szCs w:val="21"/>
        </w:rPr>
      </w:pPr>
      <w:r w:rsidRPr="00484EE5">
        <w:rPr>
          <w:rFonts w:ascii="Titillium" w:eastAsia="Titillium" w:hAnsi="Titillium" w:cs="Titillium"/>
          <w:sz w:val="21"/>
          <w:szCs w:val="21"/>
        </w:rPr>
        <w:t>rilasciate ai sensi degli artt. 46 – 47 del D.P.R. 445/2000 per l’ammissione alla procedura aperta indetta ai sensi degli artt. 70, 71 e 108 del d.lgs. 31 marzo 2023, n. 36, s.m.i. (“Codice”),</w:t>
      </w:r>
    </w:p>
    <w:p w14:paraId="22B45FF8" w14:textId="77777777" w:rsidR="00484EE5" w:rsidRPr="00484EE5" w:rsidRDefault="00484EE5" w:rsidP="00484EE5">
      <w:pPr>
        <w:spacing w:line="360" w:lineRule="auto"/>
        <w:ind w:right="424"/>
        <w:rPr>
          <w:rFonts w:ascii="Titillium" w:eastAsia="Titillium" w:hAnsi="Titillium" w:cs="Titillium"/>
          <w:sz w:val="21"/>
          <w:szCs w:val="21"/>
        </w:rPr>
      </w:pPr>
    </w:p>
    <w:p w14:paraId="7BEDEA57" w14:textId="77777777" w:rsidR="00484EE5" w:rsidRDefault="00484EE5" w:rsidP="00484EE5">
      <w:pPr>
        <w:spacing w:line="360" w:lineRule="auto"/>
        <w:ind w:right="424"/>
        <w:jc w:val="center"/>
        <w:rPr>
          <w:rFonts w:ascii="Titillium" w:eastAsia="Titillium" w:hAnsi="Titillium" w:cs="Titillium"/>
          <w:sz w:val="21"/>
          <w:szCs w:val="21"/>
        </w:rPr>
      </w:pPr>
    </w:p>
    <w:p w14:paraId="2FA0E9D1"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Il sottoscritto (cognome e </w:t>
      </w:r>
      <w:proofErr w:type="gramStart"/>
      <w:r w:rsidRPr="00484EE5">
        <w:rPr>
          <w:rFonts w:ascii="Titillium" w:eastAsia="Titillium" w:hAnsi="Titillium" w:cs="Titillium"/>
          <w:color w:val="000000"/>
          <w:sz w:val="21"/>
          <w:szCs w:val="21"/>
        </w:rPr>
        <w:t>nome) .…</w:t>
      </w:r>
      <w:proofErr w:type="gramEnd"/>
      <w:r w:rsidRPr="00484EE5">
        <w:rPr>
          <w:rFonts w:ascii="Titillium" w:eastAsia="Titillium" w:hAnsi="Titillium" w:cs="Titillium"/>
          <w:color w:val="000000"/>
          <w:sz w:val="21"/>
          <w:szCs w:val="21"/>
        </w:rPr>
        <w:t>………………………………………………………...………….............</w:t>
      </w:r>
    </w:p>
    <w:p w14:paraId="4B36CAC5"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nato a ……………………… il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 xml:space="preserve">.…………. in qualità di (carica sociale)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
    <w:p w14:paraId="100DCB39"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dell’Impresa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
    <w:p w14:paraId="7C3A1382"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sede legale …………………………...…...… sede operativa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
    <w:p w14:paraId="5B0B5F35"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Codice Fiscale n. …………………...………… Partita I.V.A. n.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
    <w:p w14:paraId="5E504D31"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tel. n.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 fax n.</w:t>
      </w:r>
      <w:proofErr w:type="gramStart"/>
      <w:r w:rsidRPr="00484EE5">
        <w:rPr>
          <w:rFonts w:ascii="Titillium" w:eastAsia="Titillium" w:hAnsi="Titillium" w:cs="Titillium"/>
          <w:color w:val="000000"/>
          <w:sz w:val="21"/>
          <w:szCs w:val="21"/>
        </w:rPr>
        <w:t xml:space="preserve"> ….…….</w:t>
      </w:r>
      <w:proofErr w:type="gramEnd"/>
      <w:r w:rsidRPr="00484EE5">
        <w:rPr>
          <w:rFonts w:ascii="Titillium" w:eastAsia="Titillium" w:hAnsi="Titillium" w:cs="Titillium"/>
          <w:color w:val="000000"/>
          <w:sz w:val="21"/>
          <w:szCs w:val="21"/>
        </w:rPr>
        <w:t>.………. e-mail/pec………</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
    <w:p w14:paraId="49AE41F1"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14:paraId="3D249F08" w14:textId="77777777" w:rsidR="00484EE5" w:rsidRPr="00484EE5" w:rsidRDefault="00484EE5" w:rsidP="00484EE5">
      <w:pPr>
        <w:spacing w:line="360" w:lineRule="auto"/>
        <w:ind w:left="142"/>
        <w:jc w:val="center"/>
        <w:rPr>
          <w:rFonts w:ascii="Titillium" w:eastAsia="Titillium" w:hAnsi="Titillium" w:cs="Titillium"/>
          <w:color w:val="000000"/>
          <w:sz w:val="21"/>
          <w:szCs w:val="21"/>
        </w:rPr>
      </w:pPr>
      <w:r w:rsidRPr="00484EE5">
        <w:rPr>
          <w:rFonts w:ascii="Titillium" w:eastAsia="Titillium" w:hAnsi="Titillium" w:cs="Titillium"/>
          <w:color w:val="000000"/>
          <w:sz w:val="21"/>
          <w:szCs w:val="21"/>
        </w:rPr>
        <w:t>DICHIARA</w:t>
      </w:r>
    </w:p>
    <w:p w14:paraId="40F5BFA3"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di possedere, ai sensi e per gli effetti dell’Art. 104 del d.lgs. n. 36/2023 e s.m.i., i seguenti requisiti di ordine speciale prescritti dal bando di gara, dei quali il concorrente …………………………………………………… </w:t>
      </w:r>
    </w:p>
    <w:p w14:paraId="2EC59FDD"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risulta carente e oggetto di avvalimento: </w:t>
      </w:r>
    </w:p>
    <w:p w14:paraId="6E92BE58"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1) ……………………………………………………………………………………………………………</w:t>
      </w:r>
    </w:p>
    <w:p w14:paraId="0E9D26BD"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2) ……………………………………………………………………………………………………………</w:t>
      </w:r>
    </w:p>
    <w:p w14:paraId="3DE3E25F"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3) ……………………………………………………………………………………………………………</w:t>
      </w:r>
    </w:p>
    <w:p w14:paraId="6A703BD0"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4) ……………………………………………………………………………………………………………</w:t>
      </w:r>
    </w:p>
    <w:p w14:paraId="6EB38A94"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di obbligarsi, nei confronti del concorrente e della Stazione appaltante, a fornire i propri requisiti di ordine speciale e mettere a disposizione le risorse necessarie per tutta la durata dell’appalto, rendendosi inoltre </w:t>
      </w:r>
      <w:r w:rsidRPr="00484EE5">
        <w:rPr>
          <w:rFonts w:ascii="Titillium" w:eastAsia="Titillium" w:hAnsi="Titillium" w:cs="Titillium"/>
          <w:color w:val="000000"/>
          <w:sz w:val="21"/>
          <w:szCs w:val="21"/>
        </w:rPr>
        <w:lastRenderedPageBreak/>
        <w:t>responsabile in solido con il concorrente nei confronti della Stazione appaltante, in relazione alle prestazioni oggetto dell’appalto.</w:t>
      </w:r>
    </w:p>
    <w:p w14:paraId="78D83ECE"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di non partecipare a sua volta alla stessa gara, né in proprio, né in forma associata o consorziata.</w:t>
      </w:r>
    </w:p>
    <w:p w14:paraId="1AEE6C89"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di indicare quale referente per la gara il Sig.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 tel. n. ……………………….  e-mail ………</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roofErr w:type="gramStart"/>
      <w:r w:rsidRPr="00484EE5">
        <w:rPr>
          <w:rFonts w:ascii="Titillium" w:eastAsia="Titillium" w:hAnsi="Titillium" w:cs="Titillium"/>
          <w:color w:val="000000"/>
          <w:sz w:val="21"/>
          <w:szCs w:val="21"/>
        </w:rPr>
        <w:t>…….</w:t>
      </w:r>
      <w:proofErr w:type="gramEnd"/>
      <w:r w:rsidRPr="00484EE5">
        <w:rPr>
          <w:rFonts w:ascii="Titillium" w:eastAsia="Titillium" w:hAnsi="Titillium" w:cs="Titillium"/>
          <w:color w:val="000000"/>
          <w:sz w:val="21"/>
          <w:szCs w:val="21"/>
        </w:rPr>
        <w:t>.…...…………………...</w:t>
      </w:r>
    </w:p>
    <w:p w14:paraId="47C67572"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di eleggere domicilio presso ……………………………...………...……………………………………...</w:t>
      </w:r>
    </w:p>
    <w:p w14:paraId="239480AA"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w:t>
      </w:r>
    </w:p>
    <w:p w14:paraId="1318C2F7" w14:textId="77777777" w:rsidR="00484EE5" w:rsidRPr="00484EE5" w:rsidRDefault="00484EE5" w:rsidP="00484EE5">
      <w:pPr>
        <w:spacing w:line="360" w:lineRule="auto"/>
        <w:ind w:left="142"/>
        <w:jc w:val="center"/>
        <w:rPr>
          <w:rFonts w:ascii="Titillium" w:eastAsia="Titillium" w:hAnsi="Titillium" w:cs="Titillium"/>
          <w:color w:val="000000"/>
          <w:sz w:val="21"/>
          <w:szCs w:val="21"/>
        </w:rPr>
      </w:pPr>
      <w:r w:rsidRPr="00484EE5">
        <w:rPr>
          <w:rFonts w:ascii="Titillium" w:eastAsia="Titillium" w:hAnsi="Titillium" w:cs="Titillium"/>
          <w:color w:val="000000"/>
          <w:sz w:val="21"/>
          <w:szCs w:val="21"/>
        </w:rPr>
        <w:t>DICHIARA INOLTRE</w:t>
      </w:r>
    </w:p>
    <w:p w14:paraId="37FC42F7"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di aver letto e compreso ai sensi del Regolamento UE 2016/679 l’informativa sul trattamento dei dati personali raccolti nell’ambito del procedimento in oggetto e contenuta negli atti allegati alla presente e presso il seguente link/URL http://www.inaf.it/it/amministrazione-trasparente/altri-contenuti/corruzione-1/programma-triennale-di-prevenzione-della-corruzione/programma-triennale-di-prevenzione-della-corruzione   ed acconsente espressamente al trattamento come definito dei dati personali, anche giudiziari, che lo riguardano. </w:t>
      </w:r>
    </w:p>
    <w:p w14:paraId="63A1D146"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SI IMPEGNA</w:t>
      </w:r>
    </w:p>
    <w:p w14:paraId="51E65893"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 </w:t>
      </w:r>
      <w:proofErr w:type="gramStart"/>
      <w:r w:rsidRPr="00484EE5">
        <w:rPr>
          <w:rFonts w:ascii="Titillium" w:eastAsia="Titillium" w:hAnsi="Titillium" w:cs="Titillium"/>
          <w:color w:val="000000"/>
          <w:sz w:val="21"/>
          <w:szCs w:val="21"/>
        </w:rPr>
        <w:t>ad</w:t>
      </w:r>
      <w:proofErr w:type="gramEnd"/>
      <w:r w:rsidRPr="00484EE5">
        <w:rPr>
          <w:rFonts w:ascii="Titillium" w:eastAsia="Titillium" w:hAnsi="Titillium" w:cs="Titillium"/>
          <w:color w:val="000000"/>
          <w:sz w:val="21"/>
          <w:szCs w:val="21"/>
        </w:rPr>
        <w:t xml:space="preserve"> adempiere agli obblighi di informativa e di acquisizione del relativo consenso, ove necessario, nei confronti delle persone fisiche (Interessati) di cui sono forniti dati personali nell’ambito della procedura di affidamento, per quanto concerne il trattamento dei loro dati personali, anche giudiziari, da parte dell’Amministrazione per le finalità sopra descritte.</w:t>
      </w:r>
    </w:p>
    <w:p w14:paraId="0CE0D9B2"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SI IMPEGNA</w:t>
      </w:r>
    </w:p>
    <w:p w14:paraId="290C306C"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qualora risulti aggiudicatario e l’esecuzione del contratto implichi un trattamento di dati per conto della Stazione appaltante, ad assumere il ruolo di Responsabile del trattamento, adottando misure tecniche ed organizzative adeguate </w:t>
      </w:r>
      <w:proofErr w:type="gramStart"/>
      <w:r w:rsidRPr="00484EE5">
        <w:rPr>
          <w:rFonts w:ascii="Titillium" w:eastAsia="Titillium" w:hAnsi="Titillium" w:cs="Titillium"/>
          <w:color w:val="000000"/>
          <w:sz w:val="21"/>
          <w:szCs w:val="21"/>
        </w:rPr>
        <w:t>per</w:t>
      </w:r>
      <w:proofErr w:type="gramEnd"/>
      <w:r w:rsidRPr="00484EE5">
        <w:rPr>
          <w:rFonts w:ascii="Titillium" w:eastAsia="Titillium" w:hAnsi="Titillium" w:cs="Titillium"/>
          <w:color w:val="000000"/>
          <w:sz w:val="21"/>
          <w:szCs w:val="21"/>
        </w:rPr>
        <w:t xml:space="preserve"> assicurare che il relativo trattamento soddisfi i requisiti del Regolamento UE 2016/679 e garantisca la tutela degli interessati; </w:t>
      </w:r>
    </w:p>
    <w:p w14:paraId="53AA5FE6"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p>
    <w:p w14:paraId="4A2DCB07"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w:t>
      </w:r>
    </w:p>
    <w:p w14:paraId="59D2A887"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 xml:space="preserve"> (Luogo e Data)</w:t>
      </w:r>
    </w:p>
    <w:p w14:paraId="01982CD9"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p>
    <w:p w14:paraId="45FD203A"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p>
    <w:p w14:paraId="1ACA2F09"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ab/>
        <w:t>……….………………………………………………….</w:t>
      </w:r>
    </w:p>
    <w:p w14:paraId="597B22AB"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ab/>
        <w:t>(timbro della società e firma del Legale rappresentante/Procuratore)</w:t>
      </w:r>
    </w:p>
    <w:p w14:paraId="63EDCF03"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p>
    <w:p w14:paraId="352B9E93"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p>
    <w:p w14:paraId="656F4A3D"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p>
    <w:p w14:paraId="797FE205"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N.B.:</w:t>
      </w:r>
    </w:p>
    <w:p w14:paraId="3A0ECE2E"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t>Alla presente dichiarazione deve essere allegata copia fotostatica di un documento d’identità, in corso di validità, del soggetto firmatario.</w:t>
      </w:r>
    </w:p>
    <w:p w14:paraId="650897FF" w14:textId="77777777" w:rsidR="00484EE5" w:rsidRPr="00484EE5" w:rsidRDefault="00484EE5" w:rsidP="00484EE5">
      <w:pPr>
        <w:spacing w:line="360" w:lineRule="auto"/>
        <w:ind w:left="142"/>
        <w:jc w:val="both"/>
        <w:rPr>
          <w:rFonts w:ascii="Titillium" w:eastAsia="Titillium" w:hAnsi="Titillium" w:cs="Titillium"/>
          <w:color w:val="000000"/>
          <w:sz w:val="21"/>
          <w:szCs w:val="21"/>
        </w:rPr>
      </w:pPr>
      <w:r w:rsidRPr="00484EE5">
        <w:rPr>
          <w:rFonts w:ascii="Titillium" w:eastAsia="Titillium" w:hAnsi="Titillium" w:cs="Titillium"/>
          <w:color w:val="000000"/>
          <w:sz w:val="21"/>
          <w:szCs w:val="21"/>
        </w:rPr>
        <w:lastRenderedPageBreak/>
        <w:t>Qualora la dichiarazione venga sottoscritta dal Procuratore della società dovrà essere allegata copia della relativa procura.</w:t>
      </w:r>
    </w:p>
    <w:p w14:paraId="15BBF0F3" w14:textId="77777777" w:rsidR="00484EE5" w:rsidRPr="00484EE5" w:rsidRDefault="00484EE5" w:rsidP="00484EE5">
      <w:pPr>
        <w:ind w:left="142"/>
        <w:jc w:val="both"/>
        <w:rPr>
          <w:rFonts w:ascii="Titillium" w:eastAsia="Titillium" w:hAnsi="Titillium" w:cs="Titillium"/>
          <w:color w:val="000000"/>
          <w:sz w:val="21"/>
          <w:szCs w:val="21"/>
        </w:rPr>
      </w:pPr>
    </w:p>
    <w:p w14:paraId="66174F8D" w14:textId="77777777" w:rsidR="00484EE5" w:rsidRPr="00484EE5" w:rsidRDefault="00484EE5" w:rsidP="00484EE5">
      <w:pPr>
        <w:ind w:left="142"/>
        <w:jc w:val="both"/>
        <w:rPr>
          <w:rFonts w:ascii="Titillium" w:eastAsia="Titillium" w:hAnsi="Titillium" w:cs="Titillium"/>
          <w:color w:val="000000"/>
          <w:sz w:val="21"/>
          <w:szCs w:val="21"/>
        </w:rPr>
      </w:pPr>
    </w:p>
    <w:p w14:paraId="2753B3AF" w14:textId="77777777" w:rsidR="00484EE5" w:rsidRPr="00484EE5" w:rsidRDefault="00484EE5" w:rsidP="00484EE5">
      <w:pPr>
        <w:ind w:left="6096"/>
        <w:jc w:val="both"/>
        <w:rPr>
          <w:rFonts w:ascii="Titillium" w:eastAsia="Titillium" w:hAnsi="Titillium" w:cs="Titillium"/>
          <w:color w:val="000000"/>
          <w:sz w:val="21"/>
          <w:szCs w:val="21"/>
        </w:rPr>
      </w:pPr>
    </w:p>
    <w:p w14:paraId="639BCD60" w14:textId="1FC3C9AB" w:rsidR="00671A4B" w:rsidRDefault="00671A4B" w:rsidP="00671A4B">
      <w:pPr>
        <w:ind w:left="6096"/>
        <w:jc w:val="both"/>
      </w:pPr>
    </w:p>
    <w:sectPr w:rsidR="00671A4B" w:rsidSect="004B29C0">
      <w:footerReference w:type="default" r:id="rId7"/>
      <w:headerReference w:type="first" r:id="rId8"/>
      <w:footerReference w:type="first" r:id="rId9"/>
      <w:pgSz w:w="11906" w:h="16838"/>
      <w:pgMar w:top="1417" w:right="1134" w:bottom="1134" w:left="1134" w:header="568"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6399" w14:textId="77777777" w:rsidR="00456BE9" w:rsidRDefault="00456BE9">
      <w:r>
        <w:separator/>
      </w:r>
    </w:p>
  </w:endnote>
  <w:endnote w:type="continuationSeparator" w:id="0">
    <w:p w14:paraId="7D632E29" w14:textId="77777777" w:rsidR="00456BE9" w:rsidRDefault="0045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ohit Devanagari">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59" w:type="dxa"/>
      <w:tblLayout w:type="fixed"/>
      <w:tblLook w:val="04A0" w:firstRow="1" w:lastRow="0" w:firstColumn="1" w:lastColumn="0" w:noHBand="0" w:noVBand="1"/>
    </w:tblPr>
    <w:tblGrid>
      <w:gridCol w:w="5245"/>
      <w:gridCol w:w="4814"/>
    </w:tblGrid>
    <w:tr w:rsidR="006176CC" w14:paraId="5AEAE5A5" w14:textId="77777777">
      <w:tc>
        <w:tcPr>
          <w:tcW w:w="5244" w:type="dxa"/>
          <w:tcBorders>
            <w:top w:val="nil"/>
            <w:left w:val="nil"/>
            <w:bottom w:val="nil"/>
            <w:right w:val="nil"/>
          </w:tcBorders>
          <w:vAlign w:val="center"/>
        </w:tcPr>
        <w:p w14:paraId="38AD25F9" w14:textId="7A20301C" w:rsidR="006176CC" w:rsidRDefault="004B29C0">
          <w:pPr>
            <w:pStyle w:val="Intestazione"/>
            <w:spacing w:before="120"/>
            <w:rPr>
              <w:rFonts w:ascii="Calibri" w:eastAsia="Calibri" w:hAnsi="Calibri"/>
            </w:rPr>
          </w:pPr>
          <w:r>
            <w:rPr>
              <w:noProof/>
            </w:rPr>
            <mc:AlternateContent>
              <mc:Choice Requires="wps">
                <w:drawing>
                  <wp:anchor distT="6350" distB="6350" distL="635" distR="635" simplePos="0" relativeHeight="5" behindDoc="1" locked="0" layoutInCell="1" allowOverlap="1" wp14:anchorId="57500F1C" wp14:editId="2A78DF6D">
                    <wp:simplePos x="0" y="0"/>
                    <wp:positionH relativeFrom="column">
                      <wp:posOffset>0</wp:posOffset>
                    </wp:positionH>
                    <wp:positionV relativeFrom="paragraph">
                      <wp:posOffset>635</wp:posOffset>
                    </wp:positionV>
                    <wp:extent cx="6411595" cy="635"/>
                    <wp:effectExtent l="0" t="0" r="8255" b="18415"/>
                    <wp:wrapNone/>
                    <wp:docPr id="203890714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972A77" id="Connettore diritto 5" o:spid="_x0000_s1026" style="position:absolute;z-index:-503316475;visibility:visible;mso-wrap-style:square;mso-width-percent:0;mso-height-percent:0;mso-wrap-distance-left:.05pt;mso-wrap-distance-top:.5pt;mso-wrap-distance-right:.05pt;mso-wrap-distance-bottom:.5pt;mso-position-horizontal:absolute;mso-position-horizontal-relative:text;mso-position-vertical:absolute;mso-position-vertical-relative:text;mso-width-percent:0;mso-height-percent:0;mso-width-relative:page;mso-height-relative:page" from="0,.05pt" to="5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B7sGbx2gAAAAMB&#10;AAAPAAAAZHJzL2Rvd25yZXYueG1sTI/BTsMwEETvSPyDtUjcqE0RUEKcCiE4oB5QCxLi5saLE7B3&#10;Q+ymga+vc4Ljzoxm3pbLMXgxYB9bJg3nMwUCqWbbktPw+vJ4tgARkyFrPBNq+MEIy+r4qDSF5T2t&#10;cdgkJ3IJxcJoaFLqCilj3WAwccYdUvY+uA8m5bN30vZmn8uDl3OlrmQwLeWFxnR432D9tdkFDe3i&#10;8/ttffl78RQGfnYPvHr3bqX16cl4dwsi4Zj+wjDhZ3SoMtOWd2Sj8BryI2lSxeQpdXMNYqthDrIq&#10;5X/26gAAAP//AwBQSwECLQAUAAYACAAAACEAtoM4kv4AAADhAQAAEwAAAAAAAAAAAAAAAAAAAAAA&#10;W0NvbnRlbnRfVHlwZXNdLnhtbFBLAQItABQABgAIAAAAIQA4/SH/1gAAAJQBAAALAAAAAAAAAAAA&#10;AAAAAC8BAABfcmVscy8ucmVsc1BLAQItABQABgAIAAAAIQDCTLasyQEAANoDAAAOAAAAAAAAAAAA&#10;AAAAAC4CAABkcnMvZTJvRG9jLnhtbFBLAQItABQABgAIAAAAIQB7sGbx2gAAAAMBAAAPAAAAAAAA&#10;AAAAAAAAACMEAABkcnMvZG93bnJldi54bWxQSwUGAAAAAAQABADzAAAAKgUAAAAA&#10;" strokecolor="#2b89c8" strokeweight="1pt">
                    <v:stroke joinstyle="miter"/>
                    <o:lock v:ext="edit" shapetype="f"/>
                  </v:line>
                </w:pict>
              </mc:Fallback>
            </mc:AlternateContent>
          </w:r>
          <w:r w:rsidR="00456BE9">
            <w:rPr>
              <w:noProof/>
            </w:rPr>
            <w:drawing>
              <wp:inline distT="0" distB="0" distL="0" distR="0" wp14:anchorId="4F94FE0D" wp14:editId="21E30CB8">
                <wp:extent cx="1659890" cy="250190"/>
                <wp:effectExtent l="0" t="0" r="0" b="0"/>
                <wp:docPr id="1662885403"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 descr="Immagine che contiene testo&#10;&#10;Descrizione generata automaticamente"/>
                        <pic:cNvPicPr>
                          <a:picLocks noChangeAspect="1" noChangeArrowheads="1"/>
                        </pic:cNvPicPr>
                      </pic:nvPicPr>
                      <pic:blipFill>
                        <a:blip r:embed="rId1"/>
                        <a:stretch>
                          <a:fillRect/>
                        </a:stretch>
                      </pic:blipFill>
                      <pic:spPr bwMode="auto">
                        <a:xfrm>
                          <a:off x="0" y="0"/>
                          <a:ext cx="1659890" cy="250190"/>
                        </a:xfrm>
                        <a:prstGeom prst="rect">
                          <a:avLst/>
                        </a:prstGeom>
                      </pic:spPr>
                    </pic:pic>
                  </a:graphicData>
                </a:graphic>
              </wp:inline>
            </w:drawing>
          </w:r>
        </w:p>
      </w:tc>
      <w:tc>
        <w:tcPr>
          <w:tcW w:w="4814" w:type="dxa"/>
          <w:tcBorders>
            <w:top w:val="nil"/>
            <w:left w:val="nil"/>
            <w:bottom w:val="nil"/>
            <w:right w:val="nil"/>
          </w:tcBorders>
          <w:vAlign w:val="center"/>
        </w:tcPr>
        <w:p w14:paraId="659687F6" w14:textId="77777777" w:rsidR="006176CC" w:rsidRDefault="00456BE9">
          <w:pPr>
            <w:pStyle w:val="Intestazione"/>
            <w:spacing w:before="120"/>
            <w:jc w:val="right"/>
            <w:rPr>
              <w:rFonts w:ascii="Arial" w:hAnsi="Arial" w:cs="Arial"/>
              <w:sz w:val="18"/>
              <w:szCs w:val="18"/>
            </w:rPr>
          </w:pPr>
          <w:r>
            <w:rPr>
              <w:rFonts w:ascii="Arial" w:eastAsia="Calibri" w:hAnsi="Arial" w:cs="Arial"/>
              <w:sz w:val="18"/>
              <w:szCs w:val="18"/>
            </w:rPr>
            <w:fldChar w:fldCharType="begin"/>
          </w:r>
          <w:r>
            <w:rPr>
              <w:rFonts w:ascii="Arial" w:eastAsia="Calibri" w:hAnsi="Arial" w:cs="Arial"/>
              <w:sz w:val="18"/>
              <w:szCs w:val="18"/>
            </w:rPr>
            <w:instrText xml:space="preserve"> PAGE </w:instrText>
          </w:r>
          <w:r>
            <w:rPr>
              <w:rFonts w:ascii="Arial" w:eastAsia="Calibri" w:hAnsi="Arial" w:cs="Arial"/>
              <w:sz w:val="18"/>
              <w:szCs w:val="18"/>
            </w:rPr>
            <w:fldChar w:fldCharType="separate"/>
          </w:r>
          <w:r>
            <w:rPr>
              <w:rFonts w:ascii="Arial" w:eastAsia="Calibri" w:hAnsi="Arial" w:cs="Arial"/>
              <w:sz w:val="18"/>
              <w:szCs w:val="18"/>
            </w:rPr>
            <w:t>5</w:t>
          </w:r>
          <w:r>
            <w:rPr>
              <w:rFonts w:ascii="Arial" w:eastAsia="Calibri" w:hAnsi="Arial" w:cs="Arial"/>
              <w:sz w:val="18"/>
              <w:szCs w:val="18"/>
            </w:rPr>
            <w:fldChar w:fldCharType="end"/>
          </w:r>
        </w:p>
      </w:tc>
    </w:tr>
  </w:tbl>
  <w:p w14:paraId="0078DFC2" w14:textId="77777777" w:rsidR="006176CC" w:rsidRDefault="006176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D97" w14:textId="2BC1A4D6" w:rsidR="006176CC" w:rsidRDefault="004B29C0">
    <w:pPr>
      <w:pStyle w:val="Intestazione"/>
      <w:ind w:left="326"/>
      <w:jc w:val="center"/>
      <w:rPr>
        <w:rFonts w:ascii="Arial" w:hAnsi="Arial" w:cs="Arial"/>
        <w:b/>
        <w:bCs/>
        <w:color w:val="595959" w:themeColor="text1" w:themeTint="A6"/>
        <w:sz w:val="18"/>
        <w:szCs w:val="18"/>
      </w:rPr>
    </w:pPr>
    <w:r>
      <w:rPr>
        <w:noProof/>
      </w:rPr>
      <mc:AlternateContent>
        <mc:Choice Requires="wps">
          <w:drawing>
            <wp:anchor distT="6350" distB="6350" distL="635" distR="635" simplePos="0" relativeHeight="6" behindDoc="1" locked="0" layoutInCell="1" allowOverlap="1" wp14:anchorId="6DC4DE2A" wp14:editId="7BBA0E40">
              <wp:simplePos x="0" y="0"/>
              <wp:positionH relativeFrom="column">
                <wp:posOffset>0</wp:posOffset>
              </wp:positionH>
              <wp:positionV relativeFrom="paragraph">
                <wp:posOffset>635</wp:posOffset>
              </wp:positionV>
              <wp:extent cx="6411595" cy="635"/>
              <wp:effectExtent l="0" t="0" r="8255" b="18415"/>
              <wp:wrapNone/>
              <wp:docPr id="1290187964"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989038A" id="Connettore diritto 1" o:spid="_x0000_s1026" style="position:absolute;z-index:-503316474;visibility:visible;mso-wrap-style:square;mso-width-percent:0;mso-height-percent:0;mso-wrap-distance-left:.05pt;mso-wrap-distance-top:.5pt;mso-wrap-distance-right:.05pt;mso-wrap-distance-bottom:.5pt;mso-position-horizontal:absolute;mso-position-horizontal-relative:text;mso-position-vertical:absolute;mso-position-vertical-relative:text;mso-width-percent:0;mso-height-percent:0;mso-width-relative:page;mso-height-relative:page" from="0,.05pt" to="50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B7sGbx2gAAAAMB&#10;AAAPAAAAZHJzL2Rvd25yZXYueG1sTI/BTsMwEETvSPyDtUjcqE0RUEKcCiE4oB5QCxLi5saLE7B3&#10;Q+ymga+vc4Ljzoxm3pbLMXgxYB9bJg3nMwUCqWbbktPw+vJ4tgARkyFrPBNq+MEIy+r4qDSF5T2t&#10;cdgkJ3IJxcJoaFLqCilj3WAwccYdUvY+uA8m5bN30vZmn8uDl3OlrmQwLeWFxnR432D9tdkFDe3i&#10;8/ttffl78RQGfnYPvHr3bqX16cl4dwsi4Zj+wjDhZ3SoMtOWd2Sj8BryI2lSxeQpdXMNYqthDrIq&#10;5X/26gAAAP//AwBQSwECLQAUAAYACAAAACEAtoM4kv4AAADhAQAAEwAAAAAAAAAAAAAAAAAAAAAA&#10;W0NvbnRlbnRfVHlwZXNdLnhtbFBLAQItABQABgAIAAAAIQA4/SH/1gAAAJQBAAALAAAAAAAAAAAA&#10;AAAAAC8BAABfcmVscy8ucmVsc1BLAQItABQABgAIAAAAIQDCTLasyQEAANoDAAAOAAAAAAAAAAAA&#10;AAAAAC4CAABkcnMvZTJvRG9jLnhtbFBLAQItABQABgAIAAAAIQB7sGbx2gAAAAMBAAAPAAAAAAAA&#10;AAAAAAAAACMEAABkcnMvZG93bnJldi54bWxQSwUGAAAAAAQABADzAAAAKgUAAAAA&#10;" strokecolor="#2b89c8" strokeweight="1pt">
              <v:stroke joinstyle="miter"/>
              <o:lock v:ext="edit" shapetype="f"/>
            </v:line>
          </w:pict>
        </mc:Fallback>
      </mc:AlternateContent>
    </w:r>
  </w:p>
  <w:p w14:paraId="49506A1C" w14:textId="77777777" w:rsidR="006176CC" w:rsidRDefault="00456BE9">
    <w:pPr>
      <w:pStyle w:val="Intestazione"/>
      <w:ind w:left="326"/>
      <w:jc w:val="center"/>
      <w:rPr>
        <w:rFonts w:ascii="Arial" w:hAnsi="Arial" w:cs="Arial"/>
        <w:color w:val="7F7F7F" w:themeColor="text1" w:themeTint="80"/>
        <w:sz w:val="18"/>
        <w:szCs w:val="18"/>
      </w:rPr>
    </w:pPr>
    <w:r>
      <w:rPr>
        <w:rFonts w:ascii="Arial" w:hAnsi="Arial" w:cs="Arial"/>
        <w:b/>
        <w:bCs/>
        <w:color w:val="7F7F7F" w:themeColor="text1" w:themeTint="80"/>
        <w:sz w:val="18"/>
        <w:szCs w:val="18"/>
      </w:rPr>
      <w:t>Istituto di Astrofisica e Planetologia Spaziali</w:t>
    </w:r>
    <w:r>
      <w:rPr>
        <w:rFonts w:ascii="Arial" w:hAnsi="Arial" w:cs="Arial"/>
        <w:color w:val="7F7F7F" w:themeColor="text1" w:themeTint="80"/>
        <w:sz w:val="18"/>
        <w:szCs w:val="18"/>
      </w:rPr>
      <w:t xml:space="preserve">   -   Via del Fosso del Cavaliere 100   -   00133   -   Roma</w:t>
    </w:r>
  </w:p>
  <w:p w14:paraId="2D03989D" w14:textId="77777777" w:rsidR="006176CC" w:rsidRDefault="00456BE9">
    <w:pPr>
      <w:pStyle w:val="Intestazione"/>
      <w:ind w:left="326"/>
      <w:jc w:val="center"/>
      <w:rPr>
        <w:rFonts w:ascii="Arial" w:hAnsi="Arial" w:cs="Arial"/>
        <w:color w:val="7F7F7F" w:themeColor="text1" w:themeTint="80"/>
        <w:sz w:val="18"/>
        <w:szCs w:val="18"/>
      </w:rPr>
    </w:pPr>
    <w:r>
      <w:rPr>
        <w:rFonts w:ascii="Arial" w:hAnsi="Arial" w:cs="Arial"/>
        <w:b/>
        <w:bCs/>
        <w:color w:val="7F7F7F" w:themeColor="text1" w:themeTint="80"/>
        <w:sz w:val="18"/>
        <w:szCs w:val="18"/>
      </w:rPr>
      <w:t>C</w:t>
    </w:r>
    <w:r>
      <w:rPr>
        <w:rFonts w:ascii="Arial" w:hAnsi="Arial" w:cs="Arial"/>
        <w:color w:val="7F7F7F" w:themeColor="text1" w:themeTint="80"/>
        <w:sz w:val="18"/>
        <w:szCs w:val="18"/>
      </w:rPr>
      <w:t>.F. 97220210583 – P.I. 06895721006</w:t>
    </w:r>
  </w:p>
  <w:p w14:paraId="7E02987F" w14:textId="77777777" w:rsidR="006176CC" w:rsidRDefault="006176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851D" w14:textId="77777777" w:rsidR="00456BE9" w:rsidRDefault="00456BE9">
      <w:r>
        <w:separator/>
      </w:r>
    </w:p>
  </w:footnote>
  <w:footnote w:type="continuationSeparator" w:id="0">
    <w:p w14:paraId="147E368C" w14:textId="77777777" w:rsidR="00456BE9" w:rsidRDefault="00456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28" w:type="dxa"/>
      <w:tblLayout w:type="fixed"/>
      <w:tblLook w:val="04A0" w:firstRow="1" w:lastRow="0" w:firstColumn="1" w:lastColumn="0" w:noHBand="0" w:noVBand="1"/>
    </w:tblPr>
    <w:tblGrid>
      <w:gridCol w:w="4815"/>
      <w:gridCol w:w="4813"/>
    </w:tblGrid>
    <w:tr w:rsidR="006176CC" w14:paraId="2B001708" w14:textId="77777777">
      <w:trPr>
        <w:trHeight w:val="995"/>
      </w:trPr>
      <w:tc>
        <w:tcPr>
          <w:tcW w:w="4814" w:type="dxa"/>
          <w:tcBorders>
            <w:top w:val="nil"/>
            <w:left w:val="nil"/>
            <w:bottom w:val="nil"/>
            <w:right w:val="nil"/>
          </w:tcBorders>
          <w:vAlign w:val="center"/>
        </w:tcPr>
        <w:p w14:paraId="2A2B9E8C" w14:textId="77777777" w:rsidR="006176CC" w:rsidRDefault="00456BE9">
          <w:pPr>
            <w:pStyle w:val="Intestazione"/>
            <w:spacing w:line="360" w:lineRule="auto"/>
            <w:ind w:hanging="387"/>
            <w:rPr>
              <w:rFonts w:ascii="Calibri" w:eastAsia="Calibri" w:hAnsi="Calibri"/>
            </w:rPr>
          </w:pPr>
          <w:r>
            <w:rPr>
              <w:noProof/>
            </w:rPr>
            <w:drawing>
              <wp:inline distT="0" distB="0" distL="0" distR="0" wp14:anchorId="1E6BBA13" wp14:editId="25CE2C77">
                <wp:extent cx="2710180" cy="408940"/>
                <wp:effectExtent l="0" t="0" r="0" b="0"/>
                <wp:docPr id="724013044"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Immagine che contiene testo&#10;&#10;Descrizione generata automaticamente"/>
                        <pic:cNvPicPr>
                          <a:picLocks noChangeAspect="1" noChangeArrowheads="1"/>
                        </pic:cNvPicPr>
                      </pic:nvPicPr>
                      <pic:blipFill>
                        <a:blip r:embed="rId1"/>
                        <a:stretch>
                          <a:fillRect/>
                        </a:stretch>
                      </pic:blipFill>
                      <pic:spPr bwMode="auto">
                        <a:xfrm>
                          <a:off x="0" y="0"/>
                          <a:ext cx="2710180" cy="408940"/>
                        </a:xfrm>
                        <a:prstGeom prst="rect">
                          <a:avLst/>
                        </a:prstGeom>
                      </pic:spPr>
                    </pic:pic>
                  </a:graphicData>
                </a:graphic>
              </wp:inline>
            </w:drawing>
          </w:r>
        </w:p>
      </w:tc>
      <w:tc>
        <w:tcPr>
          <w:tcW w:w="4813" w:type="dxa"/>
          <w:tcBorders>
            <w:top w:val="nil"/>
            <w:left w:val="nil"/>
            <w:bottom w:val="nil"/>
            <w:right w:val="nil"/>
          </w:tcBorders>
          <w:vAlign w:val="bottom"/>
        </w:tcPr>
        <w:p w14:paraId="666E27F7" w14:textId="77777777" w:rsidR="006176CC" w:rsidRDefault="00456BE9">
          <w:pPr>
            <w:pStyle w:val="Intestazione"/>
            <w:spacing w:line="360" w:lineRule="auto"/>
            <w:jc w:val="right"/>
            <w:rPr>
              <w:rFonts w:ascii="Calibri" w:eastAsia="Calibri" w:hAnsi="Calibri"/>
            </w:rPr>
          </w:pPr>
          <w:r>
            <w:rPr>
              <w:noProof/>
            </w:rPr>
            <w:drawing>
              <wp:inline distT="0" distB="0" distL="0" distR="0" wp14:anchorId="718CA898" wp14:editId="3C2CC77B">
                <wp:extent cx="628650" cy="735330"/>
                <wp:effectExtent l="0" t="0" r="0" b="0"/>
                <wp:docPr id="96203563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pic:cNvPicPr>
                          <a:picLocks noChangeAspect="1" noChangeArrowheads="1"/>
                        </pic:cNvPicPr>
                      </pic:nvPicPr>
                      <pic:blipFill>
                        <a:blip r:embed="rId2"/>
                        <a:stretch>
                          <a:fillRect/>
                        </a:stretch>
                      </pic:blipFill>
                      <pic:spPr bwMode="auto">
                        <a:xfrm>
                          <a:off x="0" y="0"/>
                          <a:ext cx="628650" cy="735330"/>
                        </a:xfrm>
                        <a:prstGeom prst="rect">
                          <a:avLst/>
                        </a:prstGeom>
                      </pic:spPr>
                    </pic:pic>
                  </a:graphicData>
                </a:graphic>
              </wp:inline>
            </w:drawing>
          </w:r>
        </w:p>
      </w:tc>
    </w:tr>
  </w:tbl>
  <w:p w14:paraId="3D8061C0" w14:textId="6DF2AB27" w:rsidR="006176CC" w:rsidRDefault="004B29C0">
    <w:pPr>
      <w:pStyle w:val="Intestazione"/>
      <w:ind w:left="-284"/>
    </w:pPr>
    <w:r>
      <w:rPr>
        <w:noProof/>
      </w:rPr>
      <mc:AlternateContent>
        <mc:Choice Requires="wps">
          <w:drawing>
            <wp:anchor distT="0" distB="11430" distL="114935" distR="121920" simplePos="0" relativeHeight="7" behindDoc="1" locked="0" layoutInCell="0" allowOverlap="1" wp14:anchorId="289DEFE5" wp14:editId="147BD6F8">
              <wp:simplePos x="0" y="0"/>
              <wp:positionH relativeFrom="column">
                <wp:posOffset>68580</wp:posOffset>
              </wp:positionH>
              <wp:positionV relativeFrom="paragraph">
                <wp:posOffset>15875</wp:posOffset>
              </wp:positionV>
              <wp:extent cx="6411595" cy="635"/>
              <wp:effectExtent l="0" t="0" r="8255" b="18415"/>
              <wp:wrapTopAndBottom/>
              <wp:docPr id="17148795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635"/>
                      </a:xfrm>
                      <a:prstGeom prst="line">
                        <a:avLst/>
                      </a:prstGeom>
                      <a:ln w="12700">
                        <a:solidFill>
                          <a:srgbClr val="2B89C8"/>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2DA69A6" id="Connettore diritto 3" o:spid="_x0000_s1026" style="position:absolute;z-index:-503316473;visibility:visible;mso-wrap-style:square;mso-width-percent:0;mso-height-percent:0;mso-wrap-distance-left:9.05pt;mso-wrap-distance-top:0;mso-wrap-distance-right:9.6pt;mso-wrap-distance-bottom:.9pt;mso-position-horizontal:absolute;mso-position-horizontal-relative:text;mso-position-vertical:absolute;mso-position-vertical-relative:text;mso-width-percent:0;mso-height-percent:0;mso-width-relative:page;mso-height-relative:page" from="5.4pt,1.25pt" to="51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asyQEAANoDAAAOAAAAZHJzL2Uyb0RvYy54bWysU9uO0zAQfUfiHyy/0ySFlm7UdCW6Wl5W&#10;sNplP8B1xo2Fb7JNk/49YycNFUhIi3ixbM+cM+eMx9vbQStyAh+kNQ2tFiUlYLhtpTk29OXb/bsN&#10;JSEy0zJlDTT0DIHe7t6+2fauhqXtrGrBEyQxoe5dQ7sYXV0UgXegWVhYBwaDwnrNIh79sWg965Fd&#10;q2JZluuit7513nIIAW/vxiDdZX4hgMevQgSIRDUUtcW8+rwe0lrstqw+euY6yScZ7B9UaCYNFp2p&#10;7lhk5IeXf1Bpyb0NVsQFt7qwQkgO2QO6qcrf3Dx3zEH2gs0Jbm5T+H+0/Mtpbx59ks4H8+weLP8e&#10;sClF70I9B9MhuDFtEF6ndNROhtzI89xIGCLheLn+UFWrmxUlHGPr96vU5oLVF6jzIX4Gq0naNFRJ&#10;k1yymp0eQhxTLynpWhnS42wtP5ZlTgtWyfZeKpWCwR8Pe+XJieELLz9tbvabqdpVGtZWZjI1+siO&#10;4lnBWOAJBJEtKq/GCmn8YKZlnIOJ1cSrDGYnmEAJM3CS9jfglJ+gkEfzNeAZkStbE2ewlsb6rO3K&#10;VNoebHt+9JfHxAHKjzANe5rQ63Puzq8vufsJAAD//wMAUEsDBBQABgAIAAAAIQAe9hH12wAAAAcB&#10;AAAPAAAAZHJzL2Rvd25yZXYueG1sTI49T8MwEIZ3JP6DdUhs1CaoVRXiVAjBgDqgtkiIzY0PJ2Cf&#10;Q+ymgV/PdYLt/Ti991SrKXgx4pC6SBquZwoEUhNtR07Dy+7xagkiZUPW+Eio4RsTrOrzs8qUNh5p&#10;g+M2O8EjlEqjoc25L6VMTYvBpFnskbh7j0Mwme3gpB3MkceDl4VSCxlMR/yhNT3et9h8bg9BQ7f8&#10;+HrdzH9unsIYn91DXL95t9b68mK6uwWRccp/x3DCZ3SomWkfD2ST8OwVk2cNxRzEqVaFYrXnYAGy&#10;ruR//voXAAD//wMAUEsBAi0AFAAGAAgAAAAhALaDOJL+AAAA4QEAABMAAAAAAAAAAAAAAAAAAAAA&#10;AFtDb250ZW50X1R5cGVzXS54bWxQSwECLQAUAAYACAAAACEAOP0h/9YAAACUAQAACwAAAAAAAAAA&#10;AAAAAAAvAQAAX3JlbHMvLnJlbHNQSwECLQAUAAYACAAAACEAwky2rMkBAADaAwAADgAAAAAAAAAA&#10;AAAAAAAuAgAAZHJzL2Uyb0RvYy54bWxQSwECLQAUAAYACAAAACEAHvYR9dsAAAAHAQAADwAAAAAA&#10;AAAAAAAAAAAjBAAAZHJzL2Rvd25yZXYueG1sUEsFBgAAAAAEAAQA8wAAACsFAAAAAA==&#10;" o:allowincell="f" strokecolor="#2b89c8" strokeweight="1pt">
              <v:stroke joinstyle="miter"/>
              <o:lock v:ext="edit" shapetype="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E7C"/>
    <w:multiLevelType w:val="multilevel"/>
    <w:tmpl w:val="E8747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135058"/>
    <w:multiLevelType w:val="multilevel"/>
    <w:tmpl w:val="F452801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61A6CF4"/>
    <w:multiLevelType w:val="multilevel"/>
    <w:tmpl w:val="30465AFA"/>
    <w:lvl w:ilvl="0">
      <w:start w:val="3"/>
      <w:numFmt w:val="bullet"/>
      <w:lvlText w:val="-"/>
      <w:lvlJc w:val="left"/>
      <w:pPr>
        <w:ind w:left="366" w:hanging="360"/>
      </w:pPr>
      <w:rPr>
        <w:rFonts w:ascii="Times New Roman" w:eastAsia="Times New Roman" w:hAnsi="Times New Roman" w:cs="Times New Roman"/>
        <w:b/>
        <w:color w:val="00000A"/>
        <w:sz w:val="22"/>
        <w:szCs w:val="22"/>
        <w:u w:val="none"/>
      </w:rPr>
    </w:lvl>
    <w:lvl w:ilvl="1">
      <w:start w:val="1"/>
      <w:numFmt w:val="bullet"/>
      <w:lvlText w:val="o"/>
      <w:lvlJc w:val="left"/>
      <w:pPr>
        <w:ind w:left="1086" w:hanging="360"/>
      </w:pPr>
      <w:rPr>
        <w:rFonts w:ascii="Courier New" w:eastAsia="Courier New" w:hAnsi="Courier New" w:cs="Courier New"/>
      </w:rPr>
    </w:lvl>
    <w:lvl w:ilvl="2">
      <w:start w:val="1"/>
      <w:numFmt w:val="bullet"/>
      <w:lvlText w:val="▪"/>
      <w:lvlJc w:val="left"/>
      <w:pPr>
        <w:ind w:left="1806" w:hanging="360"/>
      </w:pPr>
      <w:rPr>
        <w:rFonts w:ascii="Noto Sans Symbols" w:eastAsia="Noto Sans Symbols" w:hAnsi="Noto Sans Symbols" w:cs="Noto Sans Symbols"/>
        <w:b/>
        <w:sz w:val="22"/>
        <w:szCs w:val="22"/>
      </w:rPr>
    </w:lvl>
    <w:lvl w:ilvl="3">
      <w:start w:val="1"/>
      <w:numFmt w:val="bullet"/>
      <w:lvlText w:val="●"/>
      <w:lvlJc w:val="left"/>
      <w:pPr>
        <w:ind w:left="2526" w:hanging="360"/>
      </w:pPr>
      <w:rPr>
        <w:rFonts w:ascii="Noto Sans Symbols" w:eastAsia="Noto Sans Symbols" w:hAnsi="Noto Sans Symbols" w:cs="Noto Sans Symbols"/>
        <w:b/>
        <w:sz w:val="22"/>
        <w:szCs w:val="22"/>
      </w:rPr>
    </w:lvl>
    <w:lvl w:ilvl="4">
      <w:start w:val="1"/>
      <w:numFmt w:val="bullet"/>
      <w:lvlText w:val="o"/>
      <w:lvlJc w:val="left"/>
      <w:pPr>
        <w:ind w:left="3246" w:hanging="360"/>
      </w:pPr>
      <w:rPr>
        <w:rFonts w:ascii="Courier New" w:eastAsia="Courier New" w:hAnsi="Courier New" w:cs="Courier New"/>
      </w:rPr>
    </w:lvl>
    <w:lvl w:ilvl="5">
      <w:start w:val="1"/>
      <w:numFmt w:val="bullet"/>
      <w:lvlText w:val="▪"/>
      <w:lvlJc w:val="left"/>
      <w:pPr>
        <w:ind w:left="3966" w:hanging="360"/>
      </w:pPr>
      <w:rPr>
        <w:rFonts w:ascii="Noto Sans Symbols" w:eastAsia="Noto Sans Symbols" w:hAnsi="Noto Sans Symbols" w:cs="Noto Sans Symbols"/>
        <w:b/>
        <w:sz w:val="22"/>
        <w:szCs w:val="22"/>
      </w:rPr>
    </w:lvl>
    <w:lvl w:ilvl="6">
      <w:start w:val="1"/>
      <w:numFmt w:val="bullet"/>
      <w:lvlText w:val="●"/>
      <w:lvlJc w:val="left"/>
      <w:pPr>
        <w:ind w:left="4686" w:hanging="360"/>
      </w:pPr>
      <w:rPr>
        <w:rFonts w:ascii="Noto Sans Symbols" w:eastAsia="Noto Sans Symbols" w:hAnsi="Noto Sans Symbols" w:cs="Noto Sans Symbols"/>
        <w:b/>
        <w:sz w:val="22"/>
        <w:szCs w:val="22"/>
      </w:rPr>
    </w:lvl>
    <w:lvl w:ilvl="7">
      <w:start w:val="1"/>
      <w:numFmt w:val="bullet"/>
      <w:lvlText w:val="o"/>
      <w:lvlJc w:val="left"/>
      <w:pPr>
        <w:ind w:left="5406" w:hanging="360"/>
      </w:pPr>
      <w:rPr>
        <w:rFonts w:ascii="Courier New" w:eastAsia="Courier New" w:hAnsi="Courier New" w:cs="Courier New"/>
      </w:rPr>
    </w:lvl>
    <w:lvl w:ilvl="8">
      <w:start w:val="1"/>
      <w:numFmt w:val="bullet"/>
      <w:lvlText w:val="▪"/>
      <w:lvlJc w:val="left"/>
      <w:pPr>
        <w:ind w:left="6126" w:hanging="360"/>
      </w:pPr>
      <w:rPr>
        <w:rFonts w:ascii="Noto Sans Symbols" w:eastAsia="Noto Sans Symbols" w:hAnsi="Noto Sans Symbols" w:cs="Noto Sans Symbols"/>
        <w:b/>
        <w:sz w:val="22"/>
        <w:szCs w:val="22"/>
      </w:rPr>
    </w:lvl>
  </w:abstractNum>
  <w:abstractNum w:abstractNumId="3" w15:restartNumberingAfterBreak="0">
    <w:nsid w:val="2D48701B"/>
    <w:multiLevelType w:val="multilevel"/>
    <w:tmpl w:val="3662B7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6C12C24"/>
    <w:multiLevelType w:val="multilevel"/>
    <w:tmpl w:val="2BAA8C1A"/>
    <w:lvl w:ilvl="0">
      <w:start w:val="1"/>
      <w:numFmt w:val="bullet"/>
      <w:lvlText w:val="⮚"/>
      <w:lvlJc w:val="left"/>
      <w:pPr>
        <w:ind w:left="1069" w:hanging="567"/>
      </w:pPr>
      <w:rPr>
        <w:rFonts w:ascii="Noto Sans Symbols" w:eastAsia="Noto Sans Symbols" w:hAnsi="Noto Sans Symbols" w:cs="Noto Sans Symbols"/>
        <w:b w:val="0"/>
        <w:i w:val="0"/>
        <w:sz w:val="20"/>
        <w:szCs w:val="20"/>
      </w:rPr>
    </w:lvl>
    <w:lvl w:ilvl="1">
      <w:start w:val="1"/>
      <w:numFmt w:val="decimal"/>
      <w:lvlText w:val="%2)"/>
      <w:lvlJc w:val="left"/>
      <w:pPr>
        <w:ind w:left="525" w:hanging="360"/>
      </w:pPr>
    </w:lvl>
    <w:lvl w:ilvl="2">
      <w:start w:val="1"/>
      <w:numFmt w:val="bullet"/>
      <w:lvlText w:val="⮚"/>
      <w:lvlJc w:val="left"/>
      <w:pPr>
        <w:ind w:left="1425" w:hanging="360"/>
      </w:pPr>
      <w:rPr>
        <w:rFonts w:ascii="Noto Sans Symbols" w:eastAsia="Noto Sans Symbols" w:hAnsi="Noto Sans Symbols" w:cs="Noto Sans Symbols"/>
      </w:rPr>
    </w:lvl>
    <w:lvl w:ilvl="3">
      <w:start w:val="1"/>
      <w:numFmt w:val="bullet"/>
      <w:lvlText w:val="⮚"/>
      <w:lvlJc w:val="left"/>
      <w:pPr>
        <w:ind w:left="1965" w:hanging="360"/>
      </w:pPr>
      <w:rPr>
        <w:rFonts w:ascii="Noto Sans Symbols" w:eastAsia="Noto Sans Symbols" w:hAnsi="Noto Sans Symbols" w:cs="Noto Sans Symbols"/>
      </w:rPr>
    </w:lvl>
    <w:lvl w:ilvl="4">
      <w:start w:val="1"/>
      <w:numFmt w:val="lowerLetter"/>
      <w:lvlText w:val="%5."/>
      <w:lvlJc w:val="left"/>
      <w:pPr>
        <w:ind w:left="2685" w:hanging="360"/>
      </w:pPr>
    </w:lvl>
    <w:lvl w:ilvl="5">
      <w:start w:val="1"/>
      <w:numFmt w:val="lowerRoman"/>
      <w:lvlText w:val="%6."/>
      <w:lvlJc w:val="right"/>
      <w:pPr>
        <w:ind w:left="3405" w:hanging="180"/>
      </w:pPr>
    </w:lvl>
    <w:lvl w:ilvl="6">
      <w:start w:val="1"/>
      <w:numFmt w:val="decimal"/>
      <w:lvlText w:val="%7."/>
      <w:lvlJc w:val="left"/>
      <w:pPr>
        <w:ind w:left="4125" w:hanging="360"/>
      </w:pPr>
    </w:lvl>
    <w:lvl w:ilvl="7">
      <w:start w:val="1"/>
      <w:numFmt w:val="lowerLetter"/>
      <w:lvlText w:val="%8."/>
      <w:lvlJc w:val="left"/>
      <w:pPr>
        <w:ind w:left="4845" w:hanging="360"/>
      </w:pPr>
    </w:lvl>
    <w:lvl w:ilvl="8">
      <w:start w:val="1"/>
      <w:numFmt w:val="lowerRoman"/>
      <w:lvlText w:val="%9."/>
      <w:lvlJc w:val="right"/>
      <w:pPr>
        <w:ind w:left="5565" w:hanging="180"/>
      </w:pPr>
    </w:lvl>
  </w:abstractNum>
  <w:abstractNum w:abstractNumId="5" w15:restartNumberingAfterBreak="0">
    <w:nsid w:val="4ED464D9"/>
    <w:multiLevelType w:val="multilevel"/>
    <w:tmpl w:val="46582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0254A2"/>
    <w:multiLevelType w:val="multilevel"/>
    <w:tmpl w:val="247852E0"/>
    <w:lvl w:ilvl="0">
      <w:start w:val="1"/>
      <w:numFmt w:val="bullet"/>
      <w:lvlText w:val=""/>
      <w:lvlJc w:val="left"/>
      <w:pPr>
        <w:tabs>
          <w:tab w:val="num" w:pos="0"/>
        </w:tabs>
        <w:ind w:left="719" w:hanging="360"/>
      </w:pPr>
      <w:rPr>
        <w:rFonts w:ascii="Symbol" w:hAnsi="Symbol" w:cs="Symbol" w:hint="default"/>
      </w:rPr>
    </w:lvl>
    <w:lvl w:ilvl="1">
      <w:start w:val="1"/>
      <w:numFmt w:val="bullet"/>
      <w:lvlText w:val="o"/>
      <w:lvlJc w:val="left"/>
      <w:pPr>
        <w:tabs>
          <w:tab w:val="num" w:pos="0"/>
        </w:tabs>
        <w:ind w:left="1439" w:hanging="360"/>
      </w:pPr>
      <w:rPr>
        <w:rFonts w:ascii="Courier New" w:hAnsi="Courier New" w:cs="Courier New" w:hint="default"/>
      </w:rPr>
    </w:lvl>
    <w:lvl w:ilvl="2">
      <w:start w:val="1"/>
      <w:numFmt w:val="bullet"/>
      <w:lvlText w:val=""/>
      <w:lvlJc w:val="left"/>
      <w:pPr>
        <w:tabs>
          <w:tab w:val="num" w:pos="0"/>
        </w:tabs>
        <w:ind w:left="2159" w:hanging="360"/>
      </w:pPr>
      <w:rPr>
        <w:rFonts w:ascii="Wingdings" w:hAnsi="Wingdings" w:cs="Wingdings" w:hint="default"/>
      </w:rPr>
    </w:lvl>
    <w:lvl w:ilvl="3">
      <w:start w:val="1"/>
      <w:numFmt w:val="bullet"/>
      <w:lvlText w:val=""/>
      <w:lvlJc w:val="left"/>
      <w:pPr>
        <w:tabs>
          <w:tab w:val="num" w:pos="0"/>
        </w:tabs>
        <w:ind w:left="2879" w:hanging="360"/>
      </w:pPr>
      <w:rPr>
        <w:rFonts w:ascii="Symbol" w:hAnsi="Symbol" w:cs="Symbol" w:hint="default"/>
      </w:rPr>
    </w:lvl>
    <w:lvl w:ilvl="4">
      <w:start w:val="1"/>
      <w:numFmt w:val="bullet"/>
      <w:lvlText w:val="o"/>
      <w:lvlJc w:val="left"/>
      <w:pPr>
        <w:tabs>
          <w:tab w:val="num" w:pos="0"/>
        </w:tabs>
        <w:ind w:left="3599" w:hanging="360"/>
      </w:pPr>
      <w:rPr>
        <w:rFonts w:ascii="Courier New" w:hAnsi="Courier New" w:cs="Courier New" w:hint="default"/>
      </w:rPr>
    </w:lvl>
    <w:lvl w:ilvl="5">
      <w:start w:val="1"/>
      <w:numFmt w:val="bullet"/>
      <w:lvlText w:val=""/>
      <w:lvlJc w:val="left"/>
      <w:pPr>
        <w:tabs>
          <w:tab w:val="num" w:pos="0"/>
        </w:tabs>
        <w:ind w:left="4319" w:hanging="360"/>
      </w:pPr>
      <w:rPr>
        <w:rFonts w:ascii="Wingdings" w:hAnsi="Wingdings" w:cs="Wingdings" w:hint="default"/>
      </w:rPr>
    </w:lvl>
    <w:lvl w:ilvl="6">
      <w:start w:val="1"/>
      <w:numFmt w:val="bullet"/>
      <w:lvlText w:val=""/>
      <w:lvlJc w:val="left"/>
      <w:pPr>
        <w:tabs>
          <w:tab w:val="num" w:pos="0"/>
        </w:tabs>
        <w:ind w:left="5039" w:hanging="360"/>
      </w:pPr>
      <w:rPr>
        <w:rFonts w:ascii="Symbol" w:hAnsi="Symbol" w:cs="Symbol" w:hint="default"/>
      </w:rPr>
    </w:lvl>
    <w:lvl w:ilvl="7">
      <w:start w:val="1"/>
      <w:numFmt w:val="bullet"/>
      <w:lvlText w:val="o"/>
      <w:lvlJc w:val="left"/>
      <w:pPr>
        <w:tabs>
          <w:tab w:val="num" w:pos="0"/>
        </w:tabs>
        <w:ind w:left="5759" w:hanging="360"/>
      </w:pPr>
      <w:rPr>
        <w:rFonts w:ascii="Courier New" w:hAnsi="Courier New" w:cs="Courier New" w:hint="default"/>
      </w:rPr>
    </w:lvl>
    <w:lvl w:ilvl="8">
      <w:start w:val="1"/>
      <w:numFmt w:val="bullet"/>
      <w:lvlText w:val=""/>
      <w:lvlJc w:val="left"/>
      <w:pPr>
        <w:tabs>
          <w:tab w:val="num" w:pos="0"/>
        </w:tabs>
        <w:ind w:left="6479" w:hanging="360"/>
      </w:pPr>
      <w:rPr>
        <w:rFonts w:ascii="Wingdings" w:hAnsi="Wingdings" w:cs="Wingdings" w:hint="default"/>
      </w:rPr>
    </w:lvl>
  </w:abstractNum>
  <w:abstractNum w:abstractNumId="7" w15:restartNumberingAfterBreak="0">
    <w:nsid w:val="5BE07A0A"/>
    <w:multiLevelType w:val="multilevel"/>
    <w:tmpl w:val="373A0A42"/>
    <w:lvl w:ilvl="0">
      <w:start w:val="1"/>
      <w:numFmt w:val="upperLetter"/>
      <w:lvlText w:val="%1."/>
      <w:lvlJc w:val="left"/>
      <w:pPr>
        <w:ind w:left="567" w:hanging="567"/>
      </w:pPr>
      <w:rPr>
        <w:rFonts w:ascii="Arial" w:eastAsia="Arial" w:hAnsi="Arial" w:cs="Arial"/>
        <w:b w:val="0"/>
        <w:i w:val="0"/>
        <w:sz w:val="20"/>
        <w:szCs w:val="20"/>
      </w:rPr>
    </w:lvl>
    <w:lvl w:ilvl="1">
      <w:start w:val="1"/>
      <w:numFmt w:val="decimal"/>
      <w:lvlText w:val="%2)"/>
      <w:lvlJc w:val="left"/>
      <w:pPr>
        <w:ind w:left="23" w:hanging="360"/>
      </w:pPr>
    </w:lvl>
    <w:lvl w:ilvl="2">
      <w:start w:val="1"/>
      <w:numFmt w:val="bullet"/>
      <w:lvlText w:val="⮚"/>
      <w:lvlJc w:val="left"/>
      <w:pPr>
        <w:ind w:left="923" w:hanging="360"/>
      </w:pPr>
      <w:rPr>
        <w:rFonts w:ascii="Noto Sans Symbols" w:eastAsia="Noto Sans Symbols" w:hAnsi="Noto Sans Symbols" w:cs="Noto Sans Symbols"/>
      </w:rPr>
    </w:lvl>
    <w:lvl w:ilvl="3">
      <w:start w:val="1"/>
      <w:numFmt w:val="bullet"/>
      <w:lvlText w:val="⮚"/>
      <w:lvlJc w:val="left"/>
      <w:pPr>
        <w:ind w:left="1463" w:hanging="360"/>
      </w:pPr>
      <w:rPr>
        <w:rFonts w:ascii="Noto Sans Symbols" w:eastAsia="Noto Sans Symbols" w:hAnsi="Noto Sans Symbols" w:cs="Noto Sans Symbols"/>
      </w:rPr>
    </w:lvl>
    <w:lvl w:ilvl="4">
      <w:start w:val="1"/>
      <w:numFmt w:val="lowerLetter"/>
      <w:lvlText w:val="%5."/>
      <w:lvlJc w:val="left"/>
      <w:pPr>
        <w:ind w:left="2183" w:hanging="360"/>
      </w:pPr>
    </w:lvl>
    <w:lvl w:ilvl="5">
      <w:start w:val="1"/>
      <w:numFmt w:val="lowerRoman"/>
      <w:lvlText w:val="%6."/>
      <w:lvlJc w:val="right"/>
      <w:pPr>
        <w:ind w:left="2903" w:hanging="180"/>
      </w:pPr>
    </w:lvl>
    <w:lvl w:ilvl="6">
      <w:start w:val="1"/>
      <w:numFmt w:val="decimal"/>
      <w:lvlText w:val="%7."/>
      <w:lvlJc w:val="left"/>
      <w:pPr>
        <w:ind w:left="3623" w:hanging="360"/>
      </w:pPr>
    </w:lvl>
    <w:lvl w:ilvl="7">
      <w:start w:val="1"/>
      <w:numFmt w:val="lowerLetter"/>
      <w:lvlText w:val="%8."/>
      <w:lvlJc w:val="left"/>
      <w:pPr>
        <w:ind w:left="4343" w:hanging="360"/>
      </w:pPr>
    </w:lvl>
    <w:lvl w:ilvl="8">
      <w:start w:val="1"/>
      <w:numFmt w:val="lowerRoman"/>
      <w:lvlText w:val="%9."/>
      <w:lvlJc w:val="right"/>
      <w:pPr>
        <w:ind w:left="5063" w:hanging="180"/>
      </w:pPr>
    </w:lvl>
  </w:abstractNum>
  <w:num w:numId="1" w16cid:durableId="1555383813">
    <w:abstractNumId w:val="0"/>
  </w:num>
  <w:num w:numId="2" w16cid:durableId="1741445852">
    <w:abstractNumId w:val="5"/>
  </w:num>
  <w:num w:numId="3" w16cid:durableId="173083040">
    <w:abstractNumId w:val="6"/>
  </w:num>
  <w:num w:numId="4" w16cid:durableId="1331760443">
    <w:abstractNumId w:val="3"/>
  </w:num>
  <w:num w:numId="5" w16cid:durableId="418872992">
    <w:abstractNumId w:val="2"/>
  </w:num>
  <w:num w:numId="6" w16cid:durableId="897282545">
    <w:abstractNumId w:val="7"/>
  </w:num>
  <w:num w:numId="7" w16cid:durableId="1148087112">
    <w:abstractNumId w:val="4"/>
  </w:num>
  <w:num w:numId="8" w16cid:durableId="158691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CC"/>
    <w:rsid w:val="00315369"/>
    <w:rsid w:val="003945D9"/>
    <w:rsid w:val="003C0061"/>
    <w:rsid w:val="00433BEE"/>
    <w:rsid w:val="00456BE9"/>
    <w:rsid w:val="00484EE5"/>
    <w:rsid w:val="004B29C0"/>
    <w:rsid w:val="006176CC"/>
    <w:rsid w:val="00671A4B"/>
    <w:rsid w:val="00755CA4"/>
    <w:rsid w:val="00A95FBC"/>
    <w:rsid w:val="00B11C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5BC54"/>
  <w15:docId w15:val="{DCA02CEC-2068-44DD-9ED6-275CE551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Corpotesto"/>
    <w:link w:val="Titolo4Carattere"/>
    <w:qFormat/>
    <w:rsid w:val="00632078"/>
    <w:pPr>
      <w:numPr>
        <w:ilvl w:val="3"/>
        <w:numId w:val="1"/>
      </w:numPr>
      <w:spacing w:before="280" w:after="280"/>
      <w:outlineLvl w:val="3"/>
    </w:pPr>
    <w:rPr>
      <w:rFonts w:ascii="Times New Roman" w:eastAsia="Times New Roman" w:hAnsi="Times New Roman" w:cs="Times New Roman"/>
      <w:b/>
      <w:bCs/>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05FD7"/>
  </w:style>
  <w:style w:type="character" w:customStyle="1" w:styleId="PidipaginaCarattere">
    <w:name w:val="Piè di pagina Carattere"/>
    <w:basedOn w:val="Carpredefinitoparagrafo"/>
    <w:link w:val="Pidipagina"/>
    <w:uiPriority w:val="99"/>
    <w:qFormat/>
    <w:rsid w:val="00305FD7"/>
  </w:style>
  <w:style w:type="character" w:styleId="Enfasigrassetto">
    <w:name w:val="Strong"/>
    <w:basedOn w:val="Carpredefinitoparagrafo"/>
    <w:qFormat/>
    <w:rPr>
      <w:b/>
      <w:bCs/>
    </w:rPr>
  </w:style>
  <w:style w:type="character" w:customStyle="1" w:styleId="Caratterinotaapidipagina">
    <w:name w:val="Caratteri nota a piè di pagina"/>
    <w:qFormat/>
  </w:style>
  <w:style w:type="character" w:customStyle="1" w:styleId="Rimandonotaapidipagina1">
    <w:name w:val="Rimando nota a piè di pagina1"/>
    <w:qFormat/>
    <w:rPr>
      <w:vertAlign w:val="superscript"/>
    </w:rPr>
  </w:style>
  <w:style w:type="character" w:customStyle="1" w:styleId="Rimandonotadichiusura1">
    <w:name w:val="Rimando nota di chiusura1"/>
    <w:qFormat/>
    <w:rPr>
      <w:vertAlign w:val="superscript"/>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Titolo4Carattere">
    <w:name w:val="Titolo 4 Carattere"/>
    <w:basedOn w:val="Carpredefinitoparagrafo"/>
    <w:link w:val="Titolo4"/>
    <w:qFormat/>
    <w:rsid w:val="00632078"/>
    <w:rPr>
      <w:rFonts w:ascii="Times New Roman" w:eastAsia="Times New Roman" w:hAnsi="Times New Roman" w:cs="Times New Roman"/>
      <w:b/>
      <w:bCs/>
      <w:lang w:eastAsia="zh-CN"/>
    </w:rPr>
  </w:style>
  <w:style w:type="character" w:customStyle="1" w:styleId="SottotitoloCarattere">
    <w:name w:val="Sottotitolo Carattere"/>
    <w:basedOn w:val="Carpredefinitoparagrafo"/>
    <w:link w:val="Sottotitolo"/>
    <w:qFormat/>
    <w:rsid w:val="00632078"/>
    <w:rPr>
      <w:rFonts w:ascii="Liberation Sans" w:eastAsia="Noto Sans CJK SC" w:hAnsi="Liberation Sans" w:cs="Noto Sans Devanagari"/>
      <w:sz w:val="36"/>
      <w:szCs w:val="36"/>
      <w:lang w:eastAsia="zh-CN"/>
    </w:rPr>
  </w:style>
  <w:style w:type="character" w:styleId="Collegamentoipertestuale">
    <w:name w:val="Hyperlink"/>
    <w:basedOn w:val="Carpredefinitoparagrafo"/>
    <w:rPr>
      <w:color w:val="0563C1" w:themeColor="hyperlink"/>
      <w:u w:val="single"/>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ice">
    <w:name w:val="Indice"/>
    <w:basedOn w:val="Normale"/>
    <w:qFormat/>
    <w:pPr>
      <w:suppressLineNumbers/>
    </w:pPr>
    <w:rPr>
      <w:rFonts w:cs="Lohit Devanagari"/>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05FD7"/>
    <w:pPr>
      <w:tabs>
        <w:tab w:val="center" w:pos="4819"/>
        <w:tab w:val="right" w:pos="9638"/>
      </w:tabs>
    </w:pPr>
  </w:style>
  <w:style w:type="paragraph" w:styleId="Pidipagina">
    <w:name w:val="footer"/>
    <w:basedOn w:val="Normale"/>
    <w:link w:val="PidipaginaCarattere"/>
    <w:uiPriority w:val="99"/>
    <w:unhideWhenUsed/>
    <w:rsid w:val="00305FD7"/>
    <w:pPr>
      <w:tabs>
        <w:tab w:val="center" w:pos="4819"/>
        <w:tab w:val="right" w:pos="9638"/>
      </w:tabs>
    </w:pPr>
  </w:style>
  <w:style w:type="paragraph" w:customStyle="1" w:styleId="Contenutocornice">
    <w:name w:val="Contenuto cornice"/>
    <w:basedOn w:val="Normale"/>
    <w:qFormat/>
  </w:style>
  <w:style w:type="paragraph" w:styleId="Testonotaapidipagina">
    <w:name w:val="footnote text"/>
    <w:basedOn w:val="Normale"/>
    <w:pPr>
      <w:suppressLineNumbers/>
      <w:ind w:left="340" w:hanging="340"/>
    </w:pPr>
    <w:rPr>
      <w:sz w:val="20"/>
      <w:szCs w:val="20"/>
    </w:rPr>
  </w:style>
  <w:style w:type="paragraph" w:customStyle="1" w:styleId="LO-normal">
    <w:name w:val="LO-normal"/>
    <w:qFormat/>
  </w:style>
  <w:style w:type="paragraph" w:styleId="Paragrafoelenco">
    <w:name w:val="List Paragraph"/>
    <w:basedOn w:val="Normale"/>
    <w:uiPriority w:val="34"/>
    <w:qFormat/>
    <w:rsid w:val="002D362F"/>
    <w:pPr>
      <w:suppressAutoHyphens w:val="0"/>
      <w:spacing w:after="160" w:line="259" w:lineRule="auto"/>
      <w:ind w:left="720"/>
      <w:contextualSpacing/>
    </w:pPr>
    <w:rPr>
      <w:rFonts w:ascii="Calibri" w:eastAsia="Calibri" w:hAnsi="Calibri" w:cs="Times New Roman"/>
      <w:sz w:val="22"/>
      <w:szCs w:val="22"/>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styleId="NormaleWeb">
    <w:name w:val="Normal (Web)"/>
    <w:basedOn w:val="Normale"/>
    <w:unhideWhenUsed/>
    <w:qFormat/>
    <w:rsid w:val="00241BC2"/>
    <w:pPr>
      <w:suppressAutoHyphens w:val="0"/>
      <w:spacing w:beforeAutospacing="1" w:afterAutospacing="1"/>
    </w:pPr>
    <w:rPr>
      <w:rFonts w:ascii="Times New Roman" w:eastAsia="Times New Roman" w:hAnsi="Times New Roman" w:cs="Times New Roman"/>
      <w:lang w:eastAsia="it-IT"/>
    </w:rPr>
  </w:style>
  <w:style w:type="paragraph" w:styleId="Sottotitolo">
    <w:name w:val="Subtitle"/>
    <w:basedOn w:val="Normale"/>
    <w:next w:val="Corpotesto"/>
    <w:link w:val="SottotitoloCarattere"/>
    <w:qFormat/>
    <w:rsid w:val="00632078"/>
    <w:pPr>
      <w:keepNext/>
      <w:spacing w:before="60" w:after="120" w:line="276" w:lineRule="auto"/>
      <w:jc w:val="center"/>
    </w:pPr>
    <w:rPr>
      <w:rFonts w:ascii="Liberation Sans" w:eastAsia="Noto Sans CJK SC" w:hAnsi="Liberation Sans" w:cs="Noto Sans Devanagari"/>
      <w:sz w:val="36"/>
      <w:szCs w:val="36"/>
      <w:lang w:eastAsia="zh-CN"/>
    </w:rPr>
  </w:style>
  <w:style w:type="paragraph" w:customStyle="1" w:styleId="Default">
    <w:name w:val="Default"/>
    <w:qFormat/>
    <w:rPr>
      <w:rFonts w:ascii="Times New Roman" w:hAnsi="Times New Roman" w:cs="Times New Roman"/>
      <w:color w:val="000000"/>
    </w:rPr>
  </w:style>
  <w:style w:type="table" w:styleId="Grigliatabella">
    <w:name w:val="Table Grid"/>
    <w:basedOn w:val="Tabellanormale"/>
    <w:uiPriority w:val="39"/>
    <w:rsid w:val="003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671A4B"/>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71A4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6991">
      <w:bodyDiv w:val="1"/>
      <w:marLeft w:val="0"/>
      <w:marRight w:val="0"/>
      <w:marTop w:val="0"/>
      <w:marBottom w:val="0"/>
      <w:divBdr>
        <w:top w:val="none" w:sz="0" w:space="0" w:color="auto"/>
        <w:left w:val="none" w:sz="0" w:space="0" w:color="auto"/>
        <w:bottom w:val="none" w:sz="0" w:space="0" w:color="auto"/>
        <w:right w:val="none" w:sz="0" w:space="0" w:color="auto"/>
      </w:divBdr>
    </w:div>
    <w:div w:id="145995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Magnafico</dc:creator>
  <dc:description/>
  <cp:lastModifiedBy>erina pizzi</cp:lastModifiedBy>
  <cp:revision>3</cp:revision>
  <cp:lastPrinted>2025-04-28T07:57:00Z</cp:lastPrinted>
  <dcterms:created xsi:type="dcterms:W3CDTF">2025-10-02T10:33:00Z</dcterms:created>
  <dcterms:modified xsi:type="dcterms:W3CDTF">2025-10-02T10:45:00Z</dcterms:modified>
  <dc:language>it-IT</dc:language>
</cp:coreProperties>
</file>