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92481" w14:textId="77777777" w:rsidR="009F65FE" w:rsidRDefault="003929AB">
      <w:pPr>
        <w:spacing w:line="276" w:lineRule="auto"/>
        <w:rPr>
          <w:rFonts w:ascii="Titillium" w:eastAsia="Titillium" w:hAnsi="Titillium" w:cs="Titillium"/>
          <w:sz w:val="21"/>
          <w:szCs w:val="21"/>
        </w:rPr>
      </w:pPr>
      <w:r>
        <w:rPr>
          <w:rFonts w:ascii="Titillium" w:eastAsia="Titillium" w:hAnsi="Titillium" w:cs="Titillium"/>
          <w:sz w:val="21"/>
          <w:szCs w:val="21"/>
        </w:rPr>
        <w:t>Modello di Dichiarazioni integrative</w:t>
      </w:r>
    </w:p>
    <w:p w14:paraId="3725BCBA" w14:textId="77777777" w:rsidR="003929AB" w:rsidRDefault="003929AB">
      <w:pPr>
        <w:spacing w:line="276" w:lineRule="auto"/>
        <w:rPr>
          <w:rFonts w:ascii="Titillium" w:eastAsia="Titillium" w:hAnsi="Titillium" w:cs="Titillium"/>
          <w:sz w:val="21"/>
          <w:szCs w:val="21"/>
        </w:rPr>
      </w:pPr>
    </w:p>
    <w:p w14:paraId="586A3909" w14:textId="77777777" w:rsidR="009F65FE" w:rsidRDefault="003929AB">
      <w:pPr>
        <w:spacing w:line="276" w:lineRule="auto"/>
        <w:jc w:val="right"/>
        <w:rPr>
          <w:rFonts w:ascii="Titillium" w:eastAsia="Titillium" w:hAnsi="Titillium" w:cs="Titillium"/>
          <w:sz w:val="21"/>
          <w:szCs w:val="21"/>
        </w:rPr>
      </w:pPr>
      <w:r>
        <w:rPr>
          <w:rFonts w:ascii="Titillium" w:eastAsia="Titillium" w:hAnsi="Titillium" w:cs="Titillium"/>
          <w:sz w:val="21"/>
          <w:szCs w:val="21"/>
        </w:rPr>
        <w:t>Spett.le</w:t>
      </w:r>
    </w:p>
    <w:p w14:paraId="6B52744E" w14:textId="64BFBA35" w:rsidR="009F65FE" w:rsidRDefault="003929AB" w:rsidP="003929AB">
      <w:pPr>
        <w:spacing w:line="276" w:lineRule="auto"/>
        <w:jc w:val="right"/>
        <w:rPr>
          <w:rFonts w:ascii="Titillium" w:eastAsia="Titillium" w:hAnsi="Titillium" w:cs="Titillium"/>
          <w:sz w:val="21"/>
          <w:szCs w:val="21"/>
        </w:rPr>
      </w:pPr>
      <w:bookmarkStart w:id="0" w:name="_heading=h.gjdgxs" w:colFirst="0" w:colLast="0"/>
      <w:bookmarkEnd w:id="0"/>
      <w:r>
        <w:rPr>
          <w:rFonts w:ascii="Titillium" w:eastAsia="Titillium" w:hAnsi="Titillium" w:cs="Titillium"/>
          <w:sz w:val="21"/>
          <w:szCs w:val="21"/>
        </w:rPr>
        <w:t>INAF IAPS</w:t>
      </w:r>
    </w:p>
    <w:p w14:paraId="5544BEF5" w14:textId="77777777" w:rsidR="009F65FE" w:rsidRDefault="009F65FE" w:rsidP="003929AB">
      <w:pPr>
        <w:spacing w:line="276" w:lineRule="auto"/>
        <w:rPr>
          <w:rFonts w:ascii="Titillium" w:eastAsia="Titillium" w:hAnsi="Titillium" w:cs="Titillium"/>
          <w:sz w:val="21"/>
          <w:szCs w:val="21"/>
        </w:rPr>
      </w:pPr>
    </w:p>
    <w:p w14:paraId="7CEF9D88" w14:textId="77777777" w:rsidR="001D79FD" w:rsidRPr="001D79FD" w:rsidRDefault="001D79FD" w:rsidP="001D79FD">
      <w:pPr>
        <w:jc w:val="both"/>
        <w:rPr>
          <w:rFonts w:ascii="Titillium" w:hAnsi="Titillium"/>
          <w:b/>
          <w:bCs/>
          <w:sz w:val="21"/>
          <w:szCs w:val="21"/>
        </w:rPr>
      </w:pPr>
      <w:bookmarkStart w:id="1" w:name="_Hlk195879810"/>
      <w:r w:rsidRPr="001D79FD">
        <w:rPr>
          <w:rFonts w:ascii="Titillium" w:hAnsi="Titillium"/>
          <w:b/>
          <w:bCs/>
          <w:sz w:val="21"/>
          <w:szCs w:val="21"/>
        </w:rPr>
        <w:t xml:space="preserve">PROCEDURA APERTA SOPRA    SOGLIA    COMUNITARIA    SU    PIATTAFORMA TELEMATICA U-BUY AI SENSI DELL’ART. 71 DEL DECRETO LEGISLATIVO N. 36/2023 E SS.MM.II. PER LA PROGETTAZIONE, REALIZZAZIONE E FORNITURA DI ‘’SCHEDE DI ELETTRONICA PER PROTOTIPO DI STRUMENTO PER LA MISURA DEL CAMPO ELETTRICO E DEL PLASMA SPAZIALE” CON IL CRITERIO    DELL’OFFERTA ECONOMICAMENTE PIU’ VANTAGGIOSA, SULLA BASE DEL MIGLIOR RAPPORTO QUALITA’/PREZZO, PER IL PROGETTO DAL TITOLO “SPACEITUP – SPOKE 5", FUNZIONI OBIETTIVO 1.05.04.86.02 CODICE UNICO DI PROGETTO: C53C24000360005 </w:t>
      </w:r>
    </w:p>
    <w:p w14:paraId="3C12632A" w14:textId="0F7B696A" w:rsidR="008E712C" w:rsidRPr="00FA5A46" w:rsidRDefault="001D79FD" w:rsidP="001D79FD">
      <w:pPr>
        <w:jc w:val="both"/>
        <w:rPr>
          <w:rFonts w:ascii="Titillium" w:eastAsia="Arial" w:hAnsi="Titillium" w:cs="Arial"/>
          <w:b/>
          <w:sz w:val="21"/>
          <w:szCs w:val="21"/>
        </w:rPr>
      </w:pPr>
      <w:r w:rsidRPr="001D79FD">
        <w:rPr>
          <w:rFonts w:ascii="Titillium" w:hAnsi="Titillium"/>
          <w:b/>
          <w:bCs/>
          <w:sz w:val="21"/>
          <w:szCs w:val="21"/>
        </w:rPr>
        <w:t xml:space="preserve">CODICE DELLA PROCEDURA: </w:t>
      </w:r>
      <w:r w:rsidRPr="001D79FD">
        <w:rPr>
          <w:rFonts w:ascii="Titillium" w:hAnsi="Titillium"/>
          <w:b/>
          <w:bCs/>
          <w:sz w:val="21"/>
          <w:szCs w:val="21"/>
        </w:rPr>
        <w:tab/>
        <w:t>G02321</w:t>
      </w:r>
    </w:p>
    <w:bookmarkEnd w:id="1"/>
    <w:p w14:paraId="43A35F4B" w14:textId="77777777" w:rsidR="009F65FE" w:rsidRDefault="009F65FE">
      <w:pPr>
        <w:spacing w:line="276" w:lineRule="auto"/>
        <w:jc w:val="both"/>
        <w:rPr>
          <w:rFonts w:ascii="Titillium" w:eastAsia="Titillium" w:hAnsi="Titillium" w:cs="Titillium"/>
          <w:b/>
          <w:sz w:val="21"/>
          <w:szCs w:val="21"/>
        </w:rPr>
      </w:pPr>
    </w:p>
    <w:p w14:paraId="6D8BA313" w14:textId="77777777" w:rsidR="009F65FE" w:rsidRDefault="003929AB">
      <w:pPr>
        <w:tabs>
          <w:tab w:val="left" w:pos="2880"/>
        </w:tabs>
        <w:spacing w:line="276" w:lineRule="auto"/>
        <w:jc w:val="both"/>
        <w:rPr>
          <w:rFonts w:ascii="Titillium" w:eastAsia="Titillium" w:hAnsi="Titillium" w:cs="Titillium"/>
          <w:sz w:val="21"/>
          <w:szCs w:val="21"/>
        </w:rPr>
      </w:pPr>
      <w:r>
        <w:rPr>
          <w:rFonts w:ascii="Titillium" w:eastAsia="Titillium" w:hAnsi="Titillium" w:cs="Titillium"/>
          <w:sz w:val="21"/>
          <w:szCs w:val="21"/>
        </w:rPr>
        <w:t>Il/la sottoscritto/a</w:t>
      </w:r>
      <w:r>
        <w:rPr>
          <w:rFonts w:ascii="Titillium" w:eastAsia="Titillium" w:hAnsi="Titillium" w:cs="Titillium"/>
          <w:sz w:val="21"/>
          <w:szCs w:val="21"/>
          <w:vertAlign w:val="superscript"/>
        </w:rPr>
        <w:footnoteReference w:id="1"/>
      </w:r>
      <w:r>
        <w:rPr>
          <w:rFonts w:ascii="Titillium" w:eastAsia="Titillium" w:hAnsi="Titillium" w:cs="Titillium"/>
          <w:sz w:val="21"/>
          <w:szCs w:val="21"/>
        </w:rPr>
        <w:t xml:space="preserve"> ________________________________ nato/a a _____________________ il _____________ Codice Fiscale _________________ residente in ______________ via ______ CAP ______ nella sua qualità di:</w:t>
      </w:r>
    </w:p>
    <w:p w14:paraId="20FC0026" w14:textId="77777777" w:rsidR="009F65FE" w:rsidRDefault="003929AB">
      <w:pPr>
        <w:tabs>
          <w:tab w:val="left" w:pos="2880"/>
        </w:tabs>
        <w:spacing w:line="276" w:lineRule="auto"/>
        <w:jc w:val="both"/>
        <w:rPr>
          <w:rFonts w:ascii="Titillium" w:eastAsia="Titillium" w:hAnsi="Titillium" w:cs="Titillium"/>
          <w:sz w:val="21"/>
          <w:szCs w:val="21"/>
        </w:rPr>
      </w:pPr>
      <w:r>
        <w:rPr>
          <w:rFonts w:ascii="Courier New" w:eastAsia="Courier New" w:hAnsi="Courier New" w:cs="Courier New"/>
          <w:sz w:val="21"/>
          <w:szCs w:val="21"/>
        </w:rPr>
        <w:t>□</w:t>
      </w:r>
      <w:r>
        <w:rPr>
          <w:rFonts w:ascii="Titillium" w:eastAsia="Titillium" w:hAnsi="Titillium" w:cs="Titillium"/>
          <w:sz w:val="21"/>
          <w:szCs w:val="21"/>
        </w:rPr>
        <w:t xml:space="preserve"> Titolare </w:t>
      </w:r>
    </w:p>
    <w:p w14:paraId="7E9E692C" w14:textId="77777777" w:rsidR="009F65FE" w:rsidRDefault="003929AB">
      <w:pPr>
        <w:tabs>
          <w:tab w:val="left" w:pos="2880"/>
        </w:tabs>
        <w:spacing w:line="276" w:lineRule="auto"/>
        <w:jc w:val="both"/>
        <w:rPr>
          <w:rFonts w:ascii="Titillium" w:eastAsia="Titillium" w:hAnsi="Titillium" w:cs="Titillium"/>
          <w:sz w:val="21"/>
          <w:szCs w:val="21"/>
        </w:rPr>
      </w:pPr>
      <w:r>
        <w:rPr>
          <w:rFonts w:ascii="Courier New" w:eastAsia="Courier New" w:hAnsi="Courier New" w:cs="Courier New"/>
          <w:sz w:val="21"/>
          <w:szCs w:val="21"/>
        </w:rPr>
        <w:t>□</w:t>
      </w:r>
      <w:r>
        <w:rPr>
          <w:rFonts w:ascii="Titillium" w:eastAsia="Titillium" w:hAnsi="Titillium" w:cs="Titillium"/>
          <w:sz w:val="21"/>
          <w:szCs w:val="21"/>
        </w:rPr>
        <w:t xml:space="preserve"> legale rappresentante </w:t>
      </w:r>
    </w:p>
    <w:p w14:paraId="1E35C61B" w14:textId="77777777" w:rsidR="009F65FE" w:rsidRDefault="003929AB">
      <w:pPr>
        <w:tabs>
          <w:tab w:val="left" w:pos="2880"/>
        </w:tabs>
        <w:spacing w:line="276" w:lineRule="auto"/>
        <w:jc w:val="both"/>
        <w:rPr>
          <w:rFonts w:ascii="Titillium" w:eastAsia="Titillium" w:hAnsi="Titillium" w:cs="Titillium"/>
          <w:i/>
          <w:sz w:val="21"/>
          <w:szCs w:val="21"/>
        </w:rPr>
      </w:pPr>
      <w:bookmarkStart w:id="2" w:name="_heading=h.3dy6vkm" w:colFirst="0" w:colLast="0"/>
      <w:bookmarkEnd w:id="2"/>
      <w:r>
        <w:rPr>
          <w:rFonts w:ascii="Courier New" w:eastAsia="Courier New" w:hAnsi="Courier New" w:cs="Courier New"/>
          <w:sz w:val="21"/>
          <w:szCs w:val="21"/>
        </w:rPr>
        <w:t>□</w:t>
      </w:r>
      <w:r>
        <w:rPr>
          <w:rFonts w:ascii="Titillium" w:eastAsia="Titillium" w:hAnsi="Titillium" w:cs="Titillium"/>
          <w:sz w:val="21"/>
          <w:szCs w:val="21"/>
        </w:rPr>
        <w:t xml:space="preserve"> Procuratore speciale o generale con mandato di rappresentanza (</w:t>
      </w:r>
      <w:r>
        <w:rPr>
          <w:rFonts w:ascii="Titillium" w:eastAsia="Titillium" w:hAnsi="Titillium" w:cs="Titillium"/>
          <w:i/>
          <w:sz w:val="21"/>
          <w:szCs w:val="21"/>
        </w:rPr>
        <w:t>allegare la procura</w:t>
      </w:r>
      <w:r>
        <w:rPr>
          <w:rFonts w:ascii="Titillium" w:eastAsia="Titillium" w:hAnsi="Titillium" w:cs="Titillium"/>
          <w:i/>
          <w:sz w:val="21"/>
          <w:szCs w:val="21"/>
          <w:vertAlign w:val="superscript"/>
        </w:rPr>
        <w:footnoteReference w:id="2"/>
      </w:r>
      <w:r>
        <w:rPr>
          <w:rFonts w:ascii="Titillium" w:eastAsia="Titillium" w:hAnsi="Titillium" w:cs="Titillium"/>
          <w:i/>
          <w:sz w:val="21"/>
          <w:szCs w:val="21"/>
        </w:rPr>
        <w:t>, tranne nel caso in cui l’attribuzione dell’incarico risulti dalla visura camerale</w:t>
      </w:r>
      <w:r>
        <w:rPr>
          <w:rFonts w:ascii="Titillium" w:eastAsia="Titillium" w:hAnsi="Titillium" w:cs="Titillium"/>
          <w:sz w:val="21"/>
          <w:szCs w:val="21"/>
        </w:rPr>
        <w:t>)</w:t>
      </w:r>
    </w:p>
    <w:p w14:paraId="0FFDBCDF" w14:textId="77777777" w:rsidR="009F65FE" w:rsidRDefault="003929AB">
      <w:pPr>
        <w:tabs>
          <w:tab w:val="left" w:pos="2880"/>
        </w:tabs>
        <w:spacing w:line="276" w:lineRule="auto"/>
        <w:jc w:val="both"/>
        <w:rPr>
          <w:rFonts w:ascii="Titillium" w:eastAsia="Titillium" w:hAnsi="Titillium" w:cs="Titillium"/>
          <w:sz w:val="21"/>
          <w:szCs w:val="21"/>
        </w:rPr>
      </w:pPr>
      <w:r>
        <w:rPr>
          <w:rFonts w:ascii="Titillium" w:eastAsia="Titillium" w:hAnsi="Titillium" w:cs="Titillium"/>
          <w:sz w:val="21"/>
          <w:szCs w:val="21"/>
        </w:rPr>
        <w:t>del/della [Impresa/Società/ Società Cooperativa/Consorzio] ___________ ___________________________________________________________________________</w:t>
      </w:r>
    </w:p>
    <w:p w14:paraId="1443804B" w14:textId="77777777" w:rsidR="009F65FE" w:rsidRDefault="009F65FE">
      <w:pPr>
        <w:tabs>
          <w:tab w:val="left" w:pos="2880"/>
        </w:tabs>
        <w:spacing w:line="276" w:lineRule="auto"/>
        <w:rPr>
          <w:rFonts w:ascii="Titillium" w:eastAsia="Titillium" w:hAnsi="Titillium" w:cs="Titillium"/>
          <w:b/>
          <w:sz w:val="21"/>
          <w:szCs w:val="21"/>
        </w:rPr>
      </w:pPr>
    </w:p>
    <w:p w14:paraId="7C9D8972" w14:textId="77777777" w:rsidR="009F65FE" w:rsidRDefault="003929AB">
      <w:pPr>
        <w:spacing w:line="276" w:lineRule="auto"/>
        <w:jc w:val="both"/>
        <w:rPr>
          <w:rFonts w:ascii="Titillium" w:eastAsia="Titillium" w:hAnsi="Titillium" w:cs="Titillium"/>
          <w:sz w:val="21"/>
          <w:szCs w:val="21"/>
        </w:rPr>
      </w:pPr>
      <w:r>
        <w:rPr>
          <w:rFonts w:ascii="Titillium" w:eastAsia="Titillium" w:hAnsi="Titillium" w:cs="Titillium"/>
          <w:sz w:val="21"/>
          <w:szCs w:val="21"/>
        </w:rPr>
        <w:t>ai sensi e per gli effetti degli artt. 46 e 47 del D.P.R. n. 445/2000, consapevole del fatto che, in caso di dichiarazione mendace saranno applicate nei suoi riguardi, ai sensi dell’art. 76 dello stesso decreto, le sanzioni previste dal Codice penale e dalle leggi speciali in materia di falsità negli atti e dichiarazioni mendaci, oltre alle conseguenze amministrative previste per le procedure concernenti gli appalti pubblici,</w:t>
      </w:r>
    </w:p>
    <w:p w14:paraId="42AED034" w14:textId="77777777" w:rsidR="009F65FE" w:rsidRDefault="009F65FE">
      <w:pPr>
        <w:spacing w:line="276" w:lineRule="auto"/>
        <w:jc w:val="both"/>
        <w:rPr>
          <w:rFonts w:ascii="Titillium" w:eastAsia="Titillium" w:hAnsi="Titillium" w:cs="Titillium"/>
          <w:sz w:val="21"/>
          <w:szCs w:val="21"/>
        </w:rPr>
      </w:pPr>
    </w:p>
    <w:p w14:paraId="4776230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DICHIARA</w:t>
      </w:r>
    </w:p>
    <w:p w14:paraId="1A2B5A21" w14:textId="77777777" w:rsidR="009F65FE" w:rsidRDefault="009F65FE">
      <w:pPr>
        <w:spacing w:line="276" w:lineRule="auto"/>
        <w:jc w:val="both"/>
        <w:rPr>
          <w:rFonts w:ascii="Titillium" w:eastAsia="Titillium" w:hAnsi="Titillium" w:cs="Titillium"/>
          <w:sz w:val="21"/>
          <w:szCs w:val="21"/>
        </w:rPr>
      </w:pPr>
    </w:p>
    <w:p w14:paraId="0C2D6481"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bookmarkStart w:id="3" w:name="_heading=h.30j0zll" w:colFirst="0" w:colLast="0"/>
      <w:bookmarkEnd w:id="3"/>
      <w:r>
        <w:rPr>
          <w:rFonts w:ascii="Titillium" w:eastAsia="Titillium" w:hAnsi="Titillium" w:cs="Titillium"/>
          <w:color w:val="000000"/>
          <w:sz w:val="21"/>
          <w:szCs w:val="21"/>
        </w:rPr>
        <w:t xml:space="preserve">di possedere tutti i requisiti ordine generale e di ordine speciale, nonché previsti </w:t>
      </w:r>
      <w:r>
        <w:rPr>
          <w:rFonts w:ascii="Titillium" w:eastAsia="Titillium" w:hAnsi="Titillium" w:cs="Titillium"/>
          <w:sz w:val="21"/>
          <w:szCs w:val="21"/>
        </w:rPr>
        <w:t>n</w:t>
      </w:r>
      <w:r>
        <w:rPr>
          <w:rFonts w:ascii="Titillium" w:eastAsia="Titillium" w:hAnsi="Titillium" w:cs="Titillium"/>
          <w:color w:val="000000"/>
          <w:sz w:val="21"/>
          <w:szCs w:val="21"/>
        </w:rPr>
        <w:t>el Disciplinare di gara;</w:t>
      </w:r>
    </w:p>
    <w:p w14:paraId="44756B66"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67A60D48"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che tutte le certificazioni presentate sono conformi agli originali in possesso del dichiarante e che la documentazione presentata in copia viene prodotta ai sensi del D. lgs. n. 82/2005;</w:t>
      </w:r>
    </w:p>
    <w:p w14:paraId="68586C34"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233BFA0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bookmarkStart w:id="4" w:name="_heading=h.1t3h5sf" w:colFirst="0" w:colLast="0"/>
      <w:bookmarkEnd w:id="4"/>
      <w:r>
        <w:rPr>
          <w:rFonts w:ascii="Titillium" w:eastAsia="Titillium" w:hAnsi="Titillium" w:cs="Titillium"/>
          <w:color w:val="000000"/>
          <w:sz w:val="21"/>
          <w:szCs w:val="21"/>
        </w:rPr>
        <w:t xml:space="preserve">di non incorrere nelle cause di esclusione di </w:t>
      </w:r>
      <w:r>
        <w:rPr>
          <w:rFonts w:ascii="Titillium" w:eastAsia="Titillium" w:hAnsi="Titillium" w:cs="Titillium"/>
          <w:sz w:val="21"/>
          <w:szCs w:val="21"/>
        </w:rPr>
        <w:t>cui agli</w:t>
      </w:r>
      <w:r>
        <w:rPr>
          <w:rFonts w:ascii="Titillium" w:eastAsia="Titillium" w:hAnsi="Titillium" w:cs="Titillium"/>
          <w:color w:val="000000"/>
          <w:sz w:val="21"/>
          <w:szCs w:val="21"/>
        </w:rPr>
        <w:t xml:space="preserve"> artt.  94, comma 1, lett. a), b), c), comma 3, comma 4, comma 5 lett. d), e) e comma 6, art. 96, commi 8 e 9, art. 98, comma 1, 2 e 3 del D. lgs. 36/2023 (di seguito anche Codice)</w:t>
      </w:r>
      <w:r>
        <w:rPr>
          <w:rFonts w:ascii="Titillium" w:eastAsia="Titillium" w:hAnsi="Titillium" w:cs="Titillium"/>
          <w:sz w:val="21"/>
          <w:szCs w:val="21"/>
        </w:rPr>
        <w:t>;</w:t>
      </w:r>
    </w:p>
    <w:p w14:paraId="4EF4CBE5"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203EDDB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con riferimento alle cause di esclusione non automatica previste dall’art. 95 del D. lgs. n. 36/2023:</w:t>
      </w:r>
    </w:p>
    <w:p w14:paraId="26CD9BCA" w14:textId="77777777" w:rsidR="009F65FE" w:rsidRDefault="003929AB">
      <w:pPr>
        <w:numPr>
          <w:ilvl w:val="0"/>
          <w:numId w:val="6"/>
        </w:numPr>
        <w:pBdr>
          <w:top w:val="nil"/>
          <w:left w:val="nil"/>
          <w:bottom w:val="nil"/>
          <w:right w:val="nil"/>
          <w:between w:val="nil"/>
        </w:pBdr>
        <w:spacing w:line="276" w:lineRule="auto"/>
        <w:ind w:left="357" w:hanging="357"/>
        <w:jc w:val="both"/>
        <w:rPr>
          <w:rFonts w:ascii="Titillium" w:eastAsia="Titillium" w:hAnsi="Titillium" w:cs="Titillium"/>
          <w:color w:val="000000"/>
          <w:sz w:val="21"/>
          <w:szCs w:val="21"/>
        </w:rPr>
      </w:pPr>
      <w:r>
        <w:rPr>
          <w:rFonts w:ascii="Titillium" w:eastAsia="Titillium" w:hAnsi="Titillium" w:cs="Titillium"/>
          <w:b/>
          <w:color w:val="000000"/>
          <w:sz w:val="21"/>
          <w:szCs w:val="21"/>
        </w:rPr>
        <w:t>che l’operatore economico non ha commesso gravi infrazioni</w:t>
      </w:r>
      <w:r>
        <w:rPr>
          <w:rFonts w:ascii="Titillium" w:eastAsia="Titillium" w:hAnsi="Titillium" w:cs="Titillium"/>
          <w:color w:val="000000"/>
          <w:sz w:val="21"/>
          <w:szCs w:val="21"/>
        </w:rPr>
        <w:t xml:space="preserve"> rispetto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w:t>
      </w:r>
    </w:p>
    <w:p w14:paraId="38DE5F16" w14:textId="77777777" w:rsidR="009F65FE" w:rsidRDefault="003929AB">
      <w:pPr>
        <w:numPr>
          <w:ilvl w:val="0"/>
          <w:numId w:val="6"/>
        </w:numPr>
        <w:pBdr>
          <w:top w:val="nil"/>
          <w:left w:val="nil"/>
          <w:bottom w:val="nil"/>
          <w:right w:val="nil"/>
          <w:between w:val="nil"/>
        </w:pBdr>
        <w:spacing w:line="276" w:lineRule="auto"/>
        <w:ind w:left="357" w:hanging="357"/>
        <w:jc w:val="both"/>
        <w:rPr>
          <w:rFonts w:ascii="Titillium" w:eastAsia="Titillium" w:hAnsi="Titillium" w:cs="Titillium"/>
          <w:color w:val="000000"/>
          <w:sz w:val="21"/>
          <w:szCs w:val="21"/>
        </w:rPr>
      </w:pPr>
      <w:r>
        <w:rPr>
          <w:rFonts w:ascii="Titillium" w:eastAsia="Titillium" w:hAnsi="Titillium" w:cs="Titillium"/>
          <w:b/>
          <w:color w:val="000000"/>
          <w:sz w:val="21"/>
          <w:szCs w:val="21"/>
        </w:rPr>
        <w:t>che la propria partecipazione non determina una situazione di conflitto di interesse</w:t>
      </w:r>
      <w:r>
        <w:rPr>
          <w:rFonts w:ascii="Titillium" w:eastAsia="Titillium" w:hAnsi="Titillium" w:cs="Titillium"/>
          <w:color w:val="000000"/>
          <w:sz w:val="21"/>
          <w:szCs w:val="21"/>
        </w:rPr>
        <w:t xml:space="preserve"> ai sensi dell’art.16 del D. lgs. n. 36/2023, non diversamente risolvibile e che non sussistono situazioni, anche potenziali, di conflitto di interesse, ai sensi della normativa vigente, in relazione alla realizzazione degli interventi previsti nella presente procedura di gara;</w:t>
      </w:r>
    </w:p>
    <w:p w14:paraId="45F2AC81" w14:textId="77777777" w:rsidR="009F65FE" w:rsidRDefault="003929AB">
      <w:pPr>
        <w:numPr>
          <w:ilvl w:val="0"/>
          <w:numId w:val="6"/>
        </w:numPr>
        <w:pBdr>
          <w:top w:val="nil"/>
          <w:left w:val="nil"/>
          <w:bottom w:val="nil"/>
          <w:right w:val="nil"/>
          <w:between w:val="nil"/>
        </w:pBdr>
        <w:spacing w:line="276" w:lineRule="auto"/>
        <w:ind w:left="357" w:hanging="357"/>
        <w:jc w:val="both"/>
        <w:rPr>
          <w:rFonts w:ascii="Titillium" w:eastAsia="Titillium" w:hAnsi="Titillium" w:cs="Titillium"/>
          <w:color w:val="000000"/>
          <w:sz w:val="21"/>
          <w:szCs w:val="21"/>
        </w:rPr>
      </w:pPr>
      <w:r>
        <w:rPr>
          <w:rFonts w:ascii="Titillium" w:eastAsia="Titillium" w:hAnsi="Titillium" w:cs="Titillium"/>
          <w:b/>
          <w:color w:val="000000"/>
          <w:sz w:val="21"/>
          <w:szCs w:val="21"/>
        </w:rPr>
        <w:t>che la propria partecipazione non determina una distorsione della concorrenza</w:t>
      </w:r>
      <w:r>
        <w:rPr>
          <w:rFonts w:ascii="Titillium" w:eastAsia="Titillium" w:hAnsi="Titillium" w:cs="Titillium"/>
          <w:color w:val="000000"/>
          <w:sz w:val="21"/>
          <w:szCs w:val="21"/>
        </w:rPr>
        <w:t xml:space="preserve"> derivante dal proprio precedente coinvolgimento nella preparazione della procedura d’appalto che non possa essere risolta con misure meno intrusive;</w:t>
      </w:r>
    </w:p>
    <w:p w14:paraId="09D09EB8" w14:textId="77777777" w:rsidR="009F65FE" w:rsidRDefault="003929AB">
      <w:pPr>
        <w:numPr>
          <w:ilvl w:val="0"/>
          <w:numId w:val="6"/>
        </w:numPr>
        <w:pBdr>
          <w:top w:val="nil"/>
          <w:left w:val="nil"/>
          <w:bottom w:val="nil"/>
          <w:right w:val="nil"/>
          <w:between w:val="nil"/>
        </w:pBdr>
        <w:spacing w:line="276" w:lineRule="auto"/>
        <w:ind w:left="357" w:hanging="357"/>
        <w:jc w:val="both"/>
        <w:rPr>
          <w:rFonts w:ascii="Titillium" w:eastAsia="Titillium" w:hAnsi="Titillium" w:cs="Titillium"/>
          <w:color w:val="000000"/>
          <w:sz w:val="21"/>
          <w:szCs w:val="21"/>
        </w:rPr>
      </w:pPr>
      <w:r>
        <w:rPr>
          <w:rFonts w:ascii="Titillium" w:eastAsia="Titillium" w:hAnsi="Titillium" w:cs="Titillium"/>
          <w:b/>
          <w:color w:val="000000"/>
          <w:sz w:val="21"/>
          <w:szCs w:val="21"/>
        </w:rPr>
        <w:t>che l’operatore economico non ha commesso illeciti professionali gravi</w:t>
      </w:r>
      <w:r>
        <w:rPr>
          <w:rFonts w:ascii="Titillium" w:eastAsia="Titillium" w:hAnsi="Titillium" w:cs="Titillium"/>
          <w:color w:val="000000"/>
          <w:sz w:val="21"/>
          <w:szCs w:val="21"/>
        </w:rPr>
        <w:t xml:space="preserve"> tali da rendere dubbia la sua integrità o affidabilità;</w:t>
      </w:r>
    </w:p>
    <w:p w14:paraId="2365A1C2"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0CFB49B3" w14:textId="77777777" w:rsidR="009F65FE" w:rsidRDefault="003929AB">
      <w:pPr>
        <w:numPr>
          <w:ilvl w:val="0"/>
          <w:numId w:val="4"/>
        </w:numPr>
        <w:pBdr>
          <w:top w:val="nil"/>
          <w:left w:val="nil"/>
          <w:bottom w:val="nil"/>
          <w:right w:val="nil"/>
          <w:between w:val="nil"/>
        </w:pBdr>
        <w:spacing w:line="276" w:lineRule="auto"/>
        <w:ind w:left="141"/>
        <w:jc w:val="both"/>
        <w:rPr>
          <w:rFonts w:ascii="Titillium" w:eastAsia="Titillium" w:hAnsi="Titillium" w:cs="Titillium"/>
          <w:color w:val="000000"/>
          <w:sz w:val="21"/>
          <w:szCs w:val="21"/>
        </w:rPr>
      </w:pPr>
      <w:r>
        <w:rPr>
          <w:rFonts w:ascii="Titillium" w:eastAsia="Titillium" w:hAnsi="Titillium" w:cs="Titillium"/>
          <w:color w:val="000000"/>
          <w:sz w:val="21"/>
          <w:szCs w:val="21"/>
        </w:rPr>
        <w:t>con riferiment</w:t>
      </w:r>
      <w:r>
        <w:rPr>
          <w:rFonts w:ascii="Titillium" w:eastAsia="Titillium" w:hAnsi="Titillium" w:cs="Titillium"/>
          <w:sz w:val="21"/>
          <w:szCs w:val="21"/>
        </w:rPr>
        <w:t>o</w:t>
      </w:r>
      <w:r>
        <w:rPr>
          <w:rFonts w:ascii="Titillium" w:eastAsia="Titillium" w:hAnsi="Titillium" w:cs="Titillium"/>
          <w:color w:val="000000"/>
          <w:sz w:val="21"/>
          <w:szCs w:val="21"/>
        </w:rPr>
        <w:t xml:space="preserve"> ai dati identificativi dei soggetti di cui all’art. 94, commi 3 e 4 del Codice:</w:t>
      </w:r>
    </w:p>
    <w:p w14:paraId="1F4710AD"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04577C9E"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i </w:t>
      </w:r>
      <w:r>
        <w:rPr>
          <w:rFonts w:ascii="Titillium" w:eastAsia="Titillium" w:hAnsi="Titillium" w:cs="Titillium"/>
          <w:b/>
          <w:sz w:val="21"/>
          <w:szCs w:val="21"/>
        </w:rPr>
        <w:t>soggetti titolari di poteri di amministrazione e rappresentanza</w:t>
      </w:r>
      <w:r>
        <w:rPr>
          <w:rFonts w:ascii="Titillium" w:eastAsia="Titillium" w:hAnsi="Titillium" w:cs="Titillium"/>
          <w:sz w:val="21"/>
          <w:szCs w:val="21"/>
        </w:rPr>
        <w:t>,</w:t>
      </w:r>
      <w:r>
        <w:rPr>
          <w:rFonts w:ascii="Titillium" w:eastAsia="Titillium" w:hAnsi="Titillium" w:cs="Titillium"/>
          <w:sz w:val="21"/>
          <w:szCs w:val="21"/>
          <w:shd w:val="clear" w:color="auto" w:fill="F5FDFE"/>
        </w:rPr>
        <w:t xml:space="preserve"> </w:t>
      </w:r>
      <w:r>
        <w:rPr>
          <w:rFonts w:ascii="Titillium" w:eastAsia="Titillium" w:hAnsi="Titillium" w:cs="Titillium"/>
          <w:sz w:val="21"/>
          <w:szCs w:val="21"/>
        </w:rPr>
        <w:t>ivi compresi institori e procuratori generali</w:t>
      </w:r>
      <w:r>
        <w:rPr>
          <w:rFonts w:ascii="Titillium" w:eastAsia="Titillium" w:hAnsi="Titillium" w:cs="Titillium"/>
          <w:sz w:val="21"/>
          <w:szCs w:val="21"/>
          <w:shd w:val="clear" w:color="auto" w:fill="F5FDFE"/>
        </w:rPr>
        <w:t xml:space="preserve">, </w:t>
      </w:r>
      <w:r>
        <w:rPr>
          <w:rFonts w:ascii="Titillium" w:eastAsia="Titillium" w:hAnsi="Titillium" w:cs="Titillium"/>
          <w:sz w:val="21"/>
          <w:szCs w:val="21"/>
        </w:rPr>
        <w:t xml:space="preserve">nonché i poteri loro conferiti, sono: </w:t>
      </w:r>
    </w:p>
    <w:p w14:paraId="2B545C9E" w14:textId="77777777" w:rsidR="009F65FE" w:rsidRDefault="009F65FE">
      <w:pPr>
        <w:spacing w:line="276" w:lineRule="auto"/>
        <w:rPr>
          <w:rFonts w:ascii="Titillium" w:eastAsia="Titillium" w:hAnsi="Titillium" w:cs="Titillium"/>
          <w:sz w:val="21"/>
          <w:szCs w:val="21"/>
        </w:rPr>
      </w:pPr>
    </w:p>
    <w:tbl>
      <w:tblPr>
        <w:tblStyle w:val="aff1"/>
        <w:tblW w:w="10033" w:type="dxa"/>
        <w:tblInd w:w="-120" w:type="dxa"/>
        <w:tblLayout w:type="fixed"/>
        <w:tblLook w:val="0400" w:firstRow="0" w:lastRow="0" w:firstColumn="0" w:lastColumn="0" w:noHBand="0" w:noVBand="1"/>
      </w:tblPr>
      <w:tblGrid>
        <w:gridCol w:w="2179"/>
        <w:gridCol w:w="1438"/>
        <w:gridCol w:w="1992"/>
        <w:gridCol w:w="2003"/>
        <w:gridCol w:w="2421"/>
      </w:tblGrid>
      <w:tr w:rsidR="009F65FE" w14:paraId="3B50C89B" w14:textId="77777777">
        <w:trPr>
          <w:trHeight w:val="576"/>
        </w:trPr>
        <w:tc>
          <w:tcPr>
            <w:tcW w:w="2179" w:type="dxa"/>
            <w:tcBorders>
              <w:top w:val="single" w:sz="4" w:space="0" w:color="000000"/>
              <w:left w:val="single" w:sz="4" w:space="0" w:color="000000"/>
              <w:bottom w:val="single" w:sz="4" w:space="0" w:color="000000"/>
              <w:right w:val="single" w:sz="4" w:space="0" w:color="000000"/>
            </w:tcBorders>
            <w:vAlign w:val="center"/>
          </w:tcPr>
          <w:p w14:paraId="5E71DB1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1438" w:type="dxa"/>
            <w:tcBorders>
              <w:top w:val="single" w:sz="4" w:space="0" w:color="000000"/>
              <w:left w:val="single" w:sz="4" w:space="0" w:color="000000"/>
              <w:bottom w:val="single" w:sz="4" w:space="0" w:color="000000"/>
              <w:right w:val="single" w:sz="4" w:space="0" w:color="000000"/>
            </w:tcBorders>
            <w:vAlign w:val="center"/>
          </w:tcPr>
          <w:p w14:paraId="50EFA679"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1992" w:type="dxa"/>
            <w:tcBorders>
              <w:top w:val="single" w:sz="4" w:space="0" w:color="000000"/>
              <w:left w:val="single" w:sz="4" w:space="0" w:color="000000"/>
              <w:bottom w:val="nil"/>
              <w:right w:val="single" w:sz="4" w:space="0" w:color="000000"/>
            </w:tcBorders>
            <w:vAlign w:val="center"/>
          </w:tcPr>
          <w:p w14:paraId="14D25FFA"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003" w:type="dxa"/>
            <w:tcBorders>
              <w:top w:val="single" w:sz="4" w:space="0" w:color="000000"/>
              <w:left w:val="single" w:sz="4" w:space="0" w:color="000000"/>
              <w:bottom w:val="nil"/>
              <w:right w:val="single" w:sz="4" w:space="0" w:color="000000"/>
            </w:tcBorders>
            <w:vAlign w:val="center"/>
          </w:tcPr>
          <w:p w14:paraId="65B8C280"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c>
          <w:tcPr>
            <w:tcW w:w="2421" w:type="dxa"/>
            <w:tcBorders>
              <w:top w:val="single" w:sz="4" w:space="0" w:color="000000"/>
              <w:left w:val="single" w:sz="4" w:space="0" w:color="000000"/>
              <w:bottom w:val="nil"/>
              <w:right w:val="single" w:sz="4" w:space="0" w:color="000000"/>
            </w:tcBorders>
            <w:vAlign w:val="center"/>
          </w:tcPr>
          <w:p w14:paraId="7C0A89AE"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Poteri conferiti / qualifica</w:t>
            </w:r>
          </w:p>
        </w:tc>
      </w:tr>
      <w:tr w:rsidR="009F65FE" w14:paraId="7B6F1D79"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252CA778" w14:textId="77777777" w:rsidR="009F65FE" w:rsidRDefault="009F65FE">
            <w:pPr>
              <w:spacing w:line="276" w:lineRule="auto"/>
              <w:jc w:val="center"/>
              <w:rPr>
                <w:rFonts w:ascii="Titillium" w:eastAsia="Titillium" w:hAnsi="Titillium" w:cs="Titillium"/>
                <w:sz w:val="21"/>
                <w:szCs w:val="21"/>
              </w:rPr>
            </w:pPr>
          </w:p>
          <w:p w14:paraId="3D21732C" w14:textId="77777777" w:rsidR="009F65FE" w:rsidRDefault="009F65FE">
            <w:pPr>
              <w:spacing w:line="276" w:lineRule="auto"/>
              <w:jc w:val="center"/>
              <w:rPr>
                <w:rFonts w:ascii="Titillium" w:eastAsia="Titillium" w:hAnsi="Titillium" w:cs="Titillium"/>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474C2AE3" w14:textId="77777777" w:rsidR="009F65FE" w:rsidRDefault="009F65FE">
            <w:pPr>
              <w:spacing w:line="276" w:lineRule="auto"/>
              <w:jc w:val="center"/>
              <w:rPr>
                <w:rFonts w:ascii="Titillium" w:eastAsia="Titillium" w:hAnsi="Titillium" w:cs="Titillium"/>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50162061" w14:textId="77777777" w:rsidR="009F65FE" w:rsidRDefault="009F65FE">
            <w:pPr>
              <w:spacing w:line="276" w:lineRule="auto"/>
              <w:jc w:val="center"/>
              <w:rPr>
                <w:rFonts w:ascii="Titillium" w:eastAsia="Titillium" w:hAnsi="Titillium" w:cs="Titillium"/>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7BE501E0" w14:textId="77777777" w:rsidR="009F65FE" w:rsidRDefault="009F65FE">
            <w:pPr>
              <w:spacing w:line="276" w:lineRule="auto"/>
              <w:jc w:val="center"/>
              <w:rPr>
                <w:rFonts w:ascii="Titillium" w:eastAsia="Titillium" w:hAnsi="Titillium" w:cs="Titillium"/>
                <w:sz w:val="21"/>
                <w:szCs w:val="21"/>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1B85EA02" w14:textId="77777777" w:rsidR="009F65FE" w:rsidRDefault="009F65FE">
            <w:pPr>
              <w:spacing w:line="276" w:lineRule="auto"/>
              <w:jc w:val="center"/>
              <w:rPr>
                <w:rFonts w:ascii="Titillium" w:eastAsia="Titillium" w:hAnsi="Titillium" w:cs="Titillium"/>
                <w:sz w:val="21"/>
                <w:szCs w:val="21"/>
              </w:rPr>
            </w:pPr>
          </w:p>
        </w:tc>
      </w:tr>
      <w:tr w:rsidR="009F65FE" w14:paraId="7B70A4DC"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70CAA77C" w14:textId="77777777" w:rsidR="009F65FE" w:rsidRDefault="009F65FE">
            <w:pPr>
              <w:spacing w:line="276" w:lineRule="auto"/>
              <w:jc w:val="center"/>
              <w:rPr>
                <w:rFonts w:ascii="Titillium" w:eastAsia="Titillium" w:hAnsi="Titillium" w:cs="Titillium"/>
                <w:sz w:val="21"/>
                <w:szCs w:val="21"/>
              </w:rPr>
            </w:pPr>
          </w:p>
          <w:p w14:paraId="29883C0E" w14:textId="77777777" w:rsidR="009F65FE" w:rsidRDefault="009F65FE">
            <w:pPr>
              <w:spacing w:line="276" w:lineRule="auto"/>
              <w:jc w:val="center"/>
              <w:rPr>
                <w:rFonts w:ascii="Titillium" w:eastAsia="Titillium" w:hAnsi="Titillium" w:cs="Titillium"/>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6A74B03D" w14:textId="77777777" w:rsidR="009F65FE" w:rsidRDefault="009F65FE">
            <w:pPr>
              <w:spacing w:line="276" w:lineRule="auto"/>
              <w:jc w:val="center"/>
              <w:rPr>
                <w:rFonts w:ascii="Titillium" w:eastAsia="Titillium" w:hAnsi="Titillium" w:cs="Titillium"/>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1999F51F" w14:textId="77777777" w:rsidR="009F65FE" w:rsidRDefault="009F65FE">
            <w:pPr>
              <w:spacing w:line="276" w:lineRule="auto"/>
              <w:jc w:val="center"/>
              <w:rPr>
                <w:rFonts w:ascii="Titillium" w:eastAsia="Titillium" w:hAnsi="Titillium" w:cs="Titillium"/>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425D5B63" w14:textId="77777777" w:rsidR="009F65FE" w:rsidRDefault="009F65FE">
            <w:pPr>
              <w:spacing w:line="276" w:lineRule="auto"/>
              <w:jc w:val="center"/>
              <w:rPr>
                <w:rFonts w:ascii="Titillium" w:eastAsia="Titillium" w:hAnsi="Titillium" w:cs="Titillium"/>
                <w:sz w:val="21"/>
                <w:szCs w:val="21"/>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1287B67D" w14:textId="77777777" w:rsidR="009F65FE" w:rsidRDefault="009F65FE">
            <w:pPr>
              <w:spacing w:line="276" w:lineRule="auto"/>
              <w:jc w:val="center"/>
              <w:rPr>
                <w:rFonts w:ascii="Titillium" w:eastAsia="Titillium" w:hAnsi="Titillium" w:cs="Titillium"/>
                <w:sz w:val="21"/>
                <w:szCs w:val="21"/>
              </w:rPr>
            </w:pPr>
          </w:p>
        </w:tc>
      </w:tr>
    </w:tbl>
    <w:p w14:paraId="2B7188C1" w14:textId="77777777" w:rsidR="009F65FE" w:rsidRDefault="009F65FE">
      <w:pPr>
        <w:spacing w:line="276" w:lineRule="auto"/>
        <w:rPr>
          <w:rFonts w:ascii="Titillium" w:eastAsia="Titillium" w:hAnsi="Titillium" w:cs="Titillium"/>
          <w:sz w:val="21"/>
          <w:szCs w:val="21"/>
        </w:rPr>
      </w:pPr>
    </w:p>
    <w:p w14:paraId="3D981F44"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i </w:t>
      </w:r>
      <w:r>
        <w:rPr>
          <w:rFonts w:ascii="Titillium" w:eastAsia="Titillium" w:hAnsi="Titillium" w:cs="Titillium"/>
          <w:b/>
          <w:sz w:val="21"/>
          <w:szCs w:val="21"/>
        </w:rPr>
        <w:t>componenti degli organi con poteri di direzione o di vigilanza</w:t>
      </w:r>
      <w:r>
        <w:rPr>
          <w:rFonts w:ascii="Titillium" w:eastAsia="Titillium" w:hAnsi="Titillium" w:cs="Titillium"/>
          <w:sz w:val="21"/>
          <w:szCs w:val="21"/>
        </w:rPr>
        <w:t xml:space="preserve"> sono:</w:t>
      </w:r>
    </w:p>
    <w:p w14:paraId="0FF454AA" w14:textId="77777777" w:rsidR="009F65FE" w:rsidRDefault="009F65FE">
      <w:pPr>
        <w:spacing w:line="276" w:lineRule="auto"/>
        <w:rPr>
          <w:rFonts w:ascii="Titillium" w:eastAsia="Titillium" w:hAnsi="Titillium" w:cs="Titillium"/>
          <w:sz w:val="21"/>
          <w:szCs w:val="21"/>
        </w:rPr>
      </w:pPr>
    </w:p>
    <w:tbl>
      <w:tblPr>
        <w:tblStyle w:val="aff2"/>
        <w:tblW w:w="10053" w:type="dxa"/>
        <w:tblInd w:w="0" w:type="dxa"/>
        <w:tblLayout w:type="fixed"/>
        <w:tblLook w:val="0400" w:firstRow="0" w:lastRow="0" w:firstColumn="0" w:lastColumn="0" w:noHBand="0" w:noVBand="1"/>
      </w:tblPr>
      <w:tblGrid>
        <w:gridCol w:w="1920"/>
        <w:gridCol w:w="1619"/>
        <w:gridCol w:w="1910"/>
        <w:gridCol w:w="2092"/>
        <w:gridCol w:w="2512"/>
      </w:tblGrid>
      <w:tr w:rsidR="009F65FE" w14:paraId="7399D97E" w14:textId="77777777">
        <w:trPr>
          <w:trHeight w:val="576"/>
        </w:trPr>
        <w:tc>
          <w:tcPr>
            <w:tcW w:w="1920" w:type="dxa"/>
            <w:tcBorders>
              <w:top w:val="single" w:sz="4" w:space="0" w:color="000000"/>
              <w:left w:val="single" w:sz="4" w:space="0" w:color="000000"/>
              <w:bottom w:val="single" w:sz="4" w:space="0" w:color="000000"/>
              <w:right w:val="single" w:sz="4" w:space="0" w:color="000000"/>
            </w:tcBorders>
            <w:vAlign w:val="center"/>
          </w:tcPr>
          <w:p w14:paraId="2B60B2E2"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1619" w:type="dxa"/>
            <w:tcBorders>
              <w:top w:val="single" w:sz="4" w:space="0" w:color="000000"/>
              <w:left w:val="single" w:sz="4" w:space="0" w:color="000000"/>
              <w:bottom w:val="single" w:sz="4" w:space="0" w:color="000000"/>
              <w:right w:val="single" w:sz="4" w:space="0" w:color="000000"/>
            </w:tcBorders>
            <w:vAlign w:val="center"/>
          </w:tcPr>
          <w:p w14:paraId="37BB59A0"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1910" w:type="dxa"/>
            <w:tcBorders>
              <w:top w:val="single" w:sz="4" w:space="0" w:color="000000"/>
              <w:left w:val="single" w:sz="4" w:space="0" w:color="000000"/>
              <w:bottom w:val="single" w:sz="4" w:space="0" w:color="000000"/>
              <w:right w:val="single" w:sz="4" w:space="0" w:color="000000"/>
            </w:tcBorders>
            <w:vAlign w:val="center"/>
          </w:tcPr>
          <w:p w14:paraId="296A1A94"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092" w:type="dxa"/>
            <w:tcBorders>
              <w:top w:val="single" w:sz="4" w:space="0" w:color="000000"/>
              <w:left w:val="single" w:sz="4" w:space="0" w:color="000000"/>
              <w:bottom w:val="single" w:sz="4" w:space="0" w:color="000000"/>
              <w:right w:val="single" w:sz="4" w:space="0" w:color="000000"/>
            </w:tcBorders>
            <w:vAlign w:val="center"/>
          </w:tcPr>
          <w:p w14:paraId="668A763B"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c>
          <w:tcPr>
            <w:tcW w:w="2512" w:type="dxa"/>
            <w:tcBorders>
              <w:top w:val="single" w:sz="4" w:space="0" w:color="000000"/>
              <w:left w:val="single" w:sz="4" w:space="0" w:color="000000"/>
              <w:bottom w:val="single" w:sz="4" w:space="0" w:color="000000"/>
              <w:right w:val="single" w:sz="4" w:space="0" w:color="000000"/>
            </w:tcBorders>
            <w:vAlign w:val="center"/>
          </w:tcPr>
          <w:p w14:paraId="68E6A6C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Poteri conferiti / qualifica</w:t>
            </w:r>
          </w:p>
        </w:tc>
      </w:tr>
      <w:tr w:rsidR="009F65FE" w14:paraId="6D893671" w14:textId="77777777">
        <w:tc>
          <w:tcPr>
            <w:tcW w:w="1920" w:type="dxa"/>
            <w:tcBorders>
              <w:top w:val="single" w:sz="4" w:space="0" w:color="000000"/>
              <w:left w:val="single" w:sz="4" w:space="0" w:color="000000"/>
              <w:bottom w:val="single" w:sz="4" w:space="0" w:color="000000"/>
              <w:right w:val="single" w:sz="4" w:space="0" w:color="000000"/>
            </w:tcBorders>
            <w:vAlign w:val="center"/>
          </w:tcPr>
          <w:p w14:paraId="70399A80" w14:textId="77777777" w:rsidR="009F65FE" w:rsidRDefault="009F65FE">
            <w:pPr>
              <w:spacing w:line="276" w:lineRule="auto"/>
              <w:jc w:val="center"/>
              <w:rPr>
                <w:rFonts w:ascii="Titillium" w:eastAsia="Titillium" w:hAnsi="Titillium" w:cs="Titillium"/>
                <w:sz w:val="21"/>
                <w:szCs w:val="21"/>
              </w:rPr>
            </w:pPr>
          </w:p>
          <w:p w14:paraId="6CE917B5" w14:textId="77777777" w:rsidR="009F65FE" w:rsidRDefault="009F65FE">
            <w:pPr>
              <w:spacing w:line="276" w:lineRule="auto"/>
              <w:jc w:val="center"/>
              <w:rPr>
                <w:rFonts w:ascii="Titillium" w:eastAsia="Titillium" w:hAnsi="Titillium" w:cs="Titillium"/>
                <w:sz w:val="21"/>
                <w:szCs w:val="21"/>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53F7AA8" w14:textId="77777777" w:rsidR="009F65FE" w:rsidRDefault="009F65FE">
            <w:pPr>
              <w:spacing w:line="276" w:lineRule="auto"/>
              <w:jc w:val="center"/>
              <w:rPr>
                <w:rFonts w:ascii="Titillium" w:eastAsia="Titillium" w:hAnsi="Titillium" w:cs="Titillium"/>
                <w:sz w:val="21"/>
                <w:szCs w:val="21"/>
              </w:rPr>
            </w:pPr>
          </w:p>
        </w:tc>
        <w:tc>
          <w:tcPr>
            <w:tcW w:w="1910" w:type="dxa"/>
            <w:tcBorders>
              <w:top w:val="single" w:sz="4" w:space="0" w:color="000000"/>
              <w:left w:val="single" w:sz="4" w:space="0" w:color="000000"/>
              <w:bottom w:val="single" w:sz="4" w:space="0" w:color="000000"/>
              <w:right w:val="single" w:sz="4" w:space="0" w:color="000000"/>
            </w:tcBorders>
          </w:tcPr>
          <w:p w14:paraId="2F515B45" w14:textId="77777777" w:rsidR="009F65FE" w:rsidRDefault="009F65FE">
            <w:pPr>
              <w:spacing w:line="276" w:lineRule="auto"/>
              <w:jc w:val="center"/>
              <w:rPr>
                <w:rFonts w:ascii="Titillium" w:eastAsia="Titillium" w:hAnsi="Titillium" w:cs="Titillium"/>
                <w:sz w:val="21"/>
                <w:szCs w:val="21"/>
              </w:rPr>
            </w:pPr>
          </w:p>
        </w:tc>
        <w:tc>
          <w:tcPr>
            <w:tcW w:w="2092" w:type="dxa"/>
            <w:tcBorders>
              <w:top w:val="single" w:sz="4" w:space="0" w:color="000000"/>
              <w:left w:val="single" w:sz="4" w:space="0" w:color="000000"/>
              <w:bottom w:val="single" w:sz="4" w:space="0" w:color="000000"/>
              <w:right w:val="single" w:sz="4" w:space="0" w:color="000000"/>
            </w:tcBorders>
          </w:tcPr>
          <w:p w14:paraId="5F27308B" w14:textId="77777777" w:rsidR="009F65FE" w:rsidRDefault="009F65FE">
            <w:pPr>
              <w:spacing w:line="276" w:lineRule="auto"/>
              <w:jc w:val="center"/>
              <w:rPr>
                <w:rFonts w:ascii="Titillium" w:eastAsia="Titillium" w:hAnsi="Titillium" w:cs="Titillium"/>
                <w:sz w:val="21"/>
                <w:szCs w:val="21"/>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7D7E3376" w14:textId="77777777" w:rsidR="009F65FE" w:rsidRDefault="009F65FE">
            <w:pPr>
              <w:spacing w:line="276" w:lineRule="auto"/>
              <w:jc w:val="center"/>
              <w:rPr>
                <w:rFonts w:ascii="Titillium" w:eastAsia="Titillium" w:hAnsi="Titillium" w:cs="Titillium"/>
                <w:sz w:val="21"/>
                <w:szCs w:val="21"/>
              </w:rPr>
            </w:pPr>
          </w:p>
        </w:tc>
      </w:tr>
      <w:tr w:rsidR="009F65FE" w14:paraId="5F2E6ECF" w14:textId="77777777">
        <w:tc>
          <w:tcPr>
            <w:tcW w:w="1920" w:type="dxa"/>
            <w:tcBorders>
              <w:top w:val="single" w:sz="4" w:space="0" w:color="000000"/>
              <w:left w:val="single" w:sz="4" w:space="0" w:color="000000"/>
              <w:bottom w:val="single" w:sz="4" w:space="0" w:color="000000"/>
              <w:right w:val="single" w:sz="4" w:space="0" w:color="000000"/>
            </w:tcBorders>
            <w:vAlign w:val="center"/>
          </w:tcPr>
          <w:p w14:paraId="43FA8190" w14:textId="77777777" w:rsidR="009F65FE" w:rsidRDefault="009F65FE">
            <w:pPr>
              <w:spacing w:line="276" w:lineRule="auto"/>
              <w:jc w:val="center"/>
              <w:rPr>
                <w:rFonts w:ascii="Titillium" w:eastAsia="Titillium" w:hAnsi="Titillium" w:cs="Titillium"/>
                <w:sz w:val="21"/>
                <w:szCs w:val="21"/>
              </w:rPr>
            </w:pPr>
          </w:p>
          <w:p w14:paraId="7C495C88" w14:textId="77777777" w:rsidR="009F65FE" w:rsidRDefault="009F65FE">
            <w:pPr>
              <w:spacing w:line="276" w:lineRule="auto"/>
              <w:jc w:val="center"/>
              <w:rPr>
                <w:rFonts w:ascii="Titillium" w:eastAsia="Titillium" w:hAnsi="Titillium" w:cs="Titillium"/>
                <w:sz w:val="21"/>
                <w:szCs w:val="21"/>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56FCAD7" w14:textId="77777777" w:rsidR="009F65FE" w:rsidRDefault="009F65FE">
            <w:pPr>
              <w:spacing w:line="276" w:lineRule="auto"/>
              <w:jc w:val="center"/>
              <w:rPr>
                <w:rFonts w:ascii="Titillium" w:eastAsia="Titillium" w:hAnsi="Titillium" w:cs="Titillium"/>
                <w:sz w:val="21"/>
                <w:szCs w:val="21"/>
              </w:rPr>
            </w:pPr>
          </w:p>
        </w:tc>
        <w:tc>
          <w:tcPr>
            <w:tcW w:w="1910" w:type="dxa"/>
            <w:tcBorders>
              <w:top w:val="single" w:sz="4" w:space="0" w:color="000000"/>
              <w:left w:val="single" w:sz="4" w:space="0" w:color="000000"/>
              <w:bottom w:val="single" w:sz="4" w:space="0" w:color="000000"/>
              <w:right w:val="single" w:sz="4" w:space="0" w:color="000000"/>
            </w:tcBorders>
          </w:tcPr>
          <w:p w14:paraId="4CC55047" w14:textId="77777777" w:rsidR="009F65FE" w:rsidRDefault="009F65FE">
            <w:pPr>
              <w:spacing w:line="276" w:lineRule="auto"/>
              <w:jc w:val="center"/>
              <w:rPr>
                <w:rFonts w:ascii="Titillium" w:eastAsia="Titillium" w:hAnsi="Titillium" w:cs="Titillium"/>
                <w:sz w:val="21"/>
                <w:szCs w:val="21"/>
              </w:rPr>
            </w:pPr>
          </w:p>
        </w:tc>
        <w:tc>
          <w:tcPr>
            <w:tcW w:w="2092" w:type="dxa"/>
            <w:tcBorders>
              <w:top w:val="single" w:sz="4" w:space="0" w:color="000000"/>
              <w:left w:val="single" w:sz="4" w:space="0" w:color="000000"/>
              <w:bottom w:val="single" w:sz="4" w:space="0" w:color="000000"/>
              <w:right w:val="single" w:sz="4" w:space="0" w:color="000000"/>
            </w:tcBorders>
          </w:tcPr>
          <w:p w14:paraId="48A59A25" w14:textId="77777777" w:rsidR="009F65FE" w:rsidRDefault="009F65FE">
            <w:pPr>
              <w:spacing w:line="276" w:lineRule="auto"/>
              <w:jc w:val="center"/>
              <w:rPr>
                <w:rFonts w:ascii="Titillium" w:eastAsia="Titillium" w:hAnsi="Titillium" w:cs="Titillium"/>
                <w:sz w:val="21"/>
                <w:szCs w:val="21"/>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14175BEE" w14:textId="77777777" w:rsidR="009F65FE" w:rsidRDefault="009F65FE">
            <w:pPr>
              <w:spacing w:line="276" w:lineRule="auto"/>
              <w:jc w:val="center"/>
              <w:rPr>
                <w:rFonts w:ascii="Titillium" w:eastAsia="Titillium" w:hAnsi="Titillium" w:cs="Titillium"/>
                <w:sz w:val="21"/>
                <w:szCs w:val="21"/>
              </w:rPr>
            </w:pPr>
          </w:p>
        </w:tc>
      </w:tr>
    </w:tbl>
    <w:p w14:paraId="135DE1A1" w14:textId="77777777" w:rsidR="009F65FE" w:rsidRDefault="009F65FE">
      <w:pPr>
        <w:spacing w:line="276" w:lineRule="auto"/>
        <w:rPr>
          <w:rFonts w:ascii="Titillium" w:eastAsia="Titillium" w:hAnsi="Titillium" w:cs="Titillium"/>
          <w:sz w:val="21"/>
          <w:szCs w:val="21"/>
        </w:rPr>
      </w:pPr>
    </w:p>
    <w:p w14:paraId="13A59C95"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i </w:t>
      </w:r>
      <w:r>
        <w:rPr>
          <w:rFonts w:ascii="Titillium" w:eastAsia="Titillium" w:hAnsi="Titillium" w:cs="Titillium"/>
          <w:b/>
          <w:sz w:val="21"/>
          <w:szCs w:val="21"/>
        </w:rPr>
        <w:t>soggetti muniti di poteri di rappresentanza, di direzione o di controllo</w:t>
      </w:r>
      <w:r>
        <w:rPr>
          <w:rFonts w:ascii="Titillium" w:eastAsia="Titillium" w:hAnsi="Titillium" w:cs="Titillium"/>
          <w:sz w:val="21"/>
          <w:szCs w:val="21"/>
        </w:rPr>
        <w:t xml:space="preserve"> sono:</w:t>
      </w:r>
    </w:p>
    <w:p w14:paraId="5374B15B" w14:textId="77777777" w:rsidR="009F65FE" w:rsidRDefault="009F65FE">
      <w:pPr>
        <w:spacing w:line="276" w:lineRule="auto"/>
        <w:jc w:val="both"/>
        <w:rPr>
          <w:rFonts w:ascii="Titillium" w:eastAsia="Titillium" w:hAnsi="Titillium" w:cs="Titillium"/>
          <w:sz w:val="21"/>
          <w:szCs w:val="21"/>
        </w:rPr>
      </w:pPr>
    </w:p>
    <w:tbl>
      <w:tblPr>
        <w:tblStyle w:val="aff3"/>
        <w:tblW w:w="10065" w:type="dxa"/>
        <w:tblInd w:w="-120" w:type="dxa"/>
        <w:tblLayout w:type="fixed"/>
        <w:tblLook w:val="0400" w:firstRow="0" w:lastRow="0" w:firstColumn="0" w:lastColumn="0" w:noHBand="0" w:noVBand="1"/>
      </w:tblPr>
      <w:tblGrid>
        <w:gridCol w:w="2179"/>
        <w:gridCol w:w="1438"/>
        <w:gridCol w:w="1992"/>
        <w:gridCol w:w="2003"/>
        <w:gridCol w:w="2453"/>
      </w:tblGrid>
      <w:tr w:rsidR="009F65FE" w14:paraId="0B3EFDC1" w14:textId="77777777">
        <w:trPr>
          <w:trHeight w:val="576"/>
        </w:trPr>
        <w:tc>
          <w:tcPr>
            <w:tcW w:w="2179" w:type="dxa"/>
            <w:tcBorders>
              <w:top w:val="single" w:sz="4" w:space="0" w:color="000000"/>
              <w:left w:val="single" w:sz="4" w:space="0" w:color="000000"/>
              <w:bottom w:val="single" w:sz="4" w:space="0" w:color="000000"/>
              <w:right w:val="single" w:sz="4" w:space="0" w:color="000000"/>
            </w:tcBorders>
            <w:vAlign w:val="center"/>
          </w:tcPr>
          <w:p w14:paraId="3EC4D6D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1438" w:type="dxa"/>
            <w:tcBorders>
              <w:top w:val="single" w:sz="4" w:space="0" w:color="000000"/>
              <w:left w:val="single" w:sz="4" w:space="0" w:color="000000"/>
              <w:bottom w:val="single" w:sz="4" w:space="0" w:color="000000"/>
              <w:right w:val="single" w:sz="4" w:space="0" w:color="000000"/>
            </w:tcBorders>
            <w:vAlign w:val="center"/>
          </w:tcPr>
          <w:p w14:paraId="207397DB"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1992" w:type="dxa"/>
            <w:tcBorders>
              <w:top w:val="single" w:sz="4" w:space="0" w:color="000000"/>
              <w:left w:val="single" w:sz="4" w:space="0" w:color="000000"/>
              <w:bottom w:val="nil"/>
              <w:right w:val="single" w:sz="4" w:space="0" w:color="000000"/>
            </w:tcBorders>
            <w:vAlign w:val="center"/>
          </w:tcPr>
          <w:p w14:paraId="0D956F8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003" w:type="dxa"/>
            <w:tcBorders>
              <w:top w:val="single" w:sz="4" w:space="0" w:color="000000"/>
              <w:left w:val="single" w:sz="4" w:space="0" w:color="000000"/>
              <w:bottom w:val="nil"/>
              <w:right w:val="single" w:sz="4" w:space="0" w:color="000000"/>
            </w:tcBorders>
            <w:vAlign w:val="center"/>
          </w:tcPr>
          <w:p w14:paraId="38E5102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c>
          <w:tcPr>
            <w:tcW w:w="2453" w:type="dxa"/>
            <w:tcBorders>
              <w:top w:val="single" w:sz="4" w:space="0" w:color="000000"/>
              <w:left w:val="single" w:sz="4" w:space="0" w:color="000000"/>
              <w:bottom w:val="nil"/>
              <w:right w:val="single" w:sz="4" w:space="0" w:color="000000"/>
            </w:tcBorders>
            <w:vAlign w:val="center"/>
          </w:tcPr>
          <w:p w14:paraId="46AA384F"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Poteri conferiti / qualifica</w:t>
            </w:r>
          </w:p>
        </w:tc>
      </w:tr>
      <w:tr w:rsidR="009F65FE" w14:paraId="4E339BB0"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0A997A6E" w14:textId="77777777" w:rsidR="009F65FE" w:rsidRDefault="009F65FE">
            <w:pPr>
              <w:spacing w:line="276" w:lineRule="auto"/>
              <w:jc w:val="center"/>
              <w:rPr>
                <w:rFonts w:ascii="Titillium" w:eastAsia="Titillium" w:hAnsi="Titillium" w:cs="Titillium"/>
                <w:sz w:val="21"/>
                <w:szCs w:val="21"/>
              </w:rPr>
            </w:pPr>
          </w:p>
          <w:p w14:paraId="3CFA92F8" w14:textId="77777777" w:rsidR="009F65FE" w:rsidRDefault="009F65FE">
            <w:pPr>
              <w:spacing w:line="276" w:lineRule="auto"/>
              <w:jc w:val="center"/>
              <w:rPr>
                <w:rFonts w:ascii="Titillium" w:eastAsia="Titillium" w:hAnsi="Titillium" w:cs="Titillium"/>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73E51918" w14:textId="77777777" w:rsidR="009F65FE" w:rsidRDefault="009F65FE">
            <w:pPr>
              <w:spacing w:line="276" w:lineRule="auto"/>
              <w:jc w:val="center"/>
              <w:rPr>
                <w:rFonts w:ascii="Titillium" w:eastAsia="Titillium" w:hAnsi="Titillium" w:cs="Titillium"/>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3700A83A" w14:textId="77777777" w:rsidR="009F65FE" w:rsidRDefault="009F65FE">
            <w:pPr>
              <w:spacing w:line="276" w:lineRule="auto"/>
              <w:jc w:val="center"/>
              <w:rPr>
                <w:rFonts w:ascii="Titillium" w:eastAsia="Titillium" w:hAnsi="Titillium" w:cs="Titillium"/>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2F429250" w14:textId="77777777" w:rsidR="009F65FE" w:rsidRDefault="009F65FE">
            <w:pPr>
              <w:spacing w:line="276" w:lineRule="auto"/>
              <w:jc w:val="center"/>
              <w:rPr>
                <w:rFonts w:ascii="Titillium" w:eastAsia="Titillium" w:hAnsi="Titillium" w:cs="Titillium"/>
                <w:sz w:val="21"/>
                <w:szCs w:val="21"/>
              </w:rPr>
            </w:pPr>
          </w:p>
        </w:tc>
        <w:tc>
          <w:tcPr>
            <w:tcW w:w="2453" w:type="dxa"/>
            <w:tcBorders>
              <w:top w:val="single" w:sz="4" w:space="0" w:color="000000"/>
              <w:left w:val="single" w:sz="4" w:space="0" w:color="000000"/>
              <w:bottom w:val="single" w:sz="4" w:space="0" w:color="000000"/>
              <w:right w:val="single" w:sz="4" w:space="0" w:color="000000"/>
            </w:tcBorders>
            <w:vAlign w:val="center"/>
          </w:tcPr>
          <w:p w14:paraId="27F3C75A" w14:textId="77777777" w:rsidR="009F65FE" w:rsidRDefault="009F65FE">
            <w:pPr>
              <w:spacing w:line="276" w:lineRule="auto"/>
              <w:jc w:val="center"/>
              <w:rPr>
                <w:rFonts w:ascii="Titillium" w:eastAsia="Titillium" w:hAnsi="Titillium" w:cs="Titillium"/>
                <w:sz w:val="21"/>
                <w:szCs w:val="21"/>
              </w:rPr>
            </w:pPr>
          </w:p>
        </w:tc>
      </w:tr>
      <w:tr w:rsidR="009F65FE" w14:paraId="1057A50D"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2CE8A088" w14:textId="77777777" w:rsidR="009F65FE" w:rsidRDefault="009F65FE">
            <w:pPr>
              <w:spacing w:line="276" w:lineRule="auto"/>
              <w:jc w:val="center"/>
              <w:rPr>
                <w:rFonts w:ascii="Titillium" w:eastAsia="Titillium" w:hAnsi="Titillium" w:cs="Titillium"/>
                <w:sz w:val="21"/>
                <w:szCs w:val="21"/>
              </w:rPr>
            </w:pPr>
          </w:p>
          <w:p w14:paraId="736342F7" w14:textId="77777777" w:rsidR="009F65FE" w:rsidRDefault="009F65FE">
            <w:pPr>
              <w:spacing w:line="276" w:lineRule="auto"/>
              <w:jc w:val="center"/>
              <w:rPr>
                <w:rFonts w:ascii="Titillium" w:eastAsia="Titillium" w:hAnsi="Titillium" w:cs="Titillium"/>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420CFB76" w14:textId="77777777" w:rsidR="009F65FE" w:rsidRDefault="009F65FE">
            <w:pPr>
              <w:spacing w:line="276" w:lineRule="auto"/>
              <w:jc w:val="center"/>
              <w:rPr>
                <w:rFonts w:ascii="Titillium" w:eastAsia="Titillium" w:hAnsi="Titillium" w:cs="Titillium"/>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0717AFEB" w14:textId="77777777" w:rsidR="009F65FE" w:rsidRDefault="009F65FE">
            <w:pPr>
              <w:spacing w:line="276" w:lineRule="auto"/>
              <w:jc w:val="center"/>
              <w:rPr>
                <w:rFonts w:ascii="Titillium" w:eastAsia="Titillium" w:hAnsi="Titillium" w:cs="Titillium"/>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32C479E0" w14:textId="77777777" w:rsidR="009F65FE" w:rsidRDefault="009F65FE">
            <w:pPr>
              <w:spacing w:line="276" w:lineRule="auto"/>
              <w:jc w:val="center"/>
              <w:rPr>
                <w:rFonts w:ascii="Titillium" w:eastAsia="Titillium" w:hAnsi="Titillium" w:cs="Titillium"/>
                <w:sz w:val="21"/>
                <w:szCs w:val="21"/>
              </w:rPr>
            </w:pPr>
          </w:p>
        </w:tc>
        <w:tc>
          <w:tcPr>
            <w:tcW w:w="2453" w:type="dxa"/>
            <w:tcBorders>
              <w:top w:val="single" w:sz="4" w:space="0" w:color="000000"/>
              <w:left w:val="single" w:sz="4" w:space="0" w:color="000000"/>
              <w:bottom w:val="single" w:sz="4" w:space="0" w:color="000000"/>
              <w:right w:val="single" w:sz="4" w:space="0" w:color="000000"/>
            </w:tcBorders>
            <w:vAlign w:val="center"/>
          </w:tcPr>
          <w:p w14:paraId="3684665C" w14:textId="77777777" w:rsidR="009F65FE" w:rsidRDefault="009F65FE">
            <w:pPr>
              <w:spacing w:line="276" w:lineRule="auto"/>
              <w:jc w:val="center"/>
              <w:rPr>
                <w:rFonts w:ascii="Titillium" w:eastAsia="Titillium" w:hAnsi="Titillium" w:cs="Titillium"/>
                <w:sz w:val="21"/>
                <w:szCs w:val="21"/>
              </w:rPr>
            </w:pPr>
          </w:p>
        </w:tc>
      </w:tr>
    </w:tbl>
    <w:p w14:paraId="0D639E18" w14:textId="77777777" w:rsidR="009F65FE" w:rsidRDefault="009F65FE">
      <w:pPr>
        <w:spacing w:line="276" w:lineRule="auto"/>
        <w:rPr>
          <w:rFonts w:ascii="Titillium" w:eastAsia="Titillium" w:hAnsi="Titillium" w:cs="Titillium"/>
          <w:sz w:val="21"/>
          <w:szCs w:val="21"/>
        </w:rPr>
      </w:pPr>
    </w:p>
    <w:p w14:paraId="41B4C54D"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w:t>
      </w:r>
      <w:r>
        <w:rPr>
          <w:rFonts w:ascii="Titillium" w:eastAsia="Titillium" w:hAnsi="Titillium" w:cs="Titillium"/>
          <w:b/>
          <w:sz w:val="21"/>
          <w:szCs w:val="21"/>
        </w:rPr>
        <w:t>rivestono la qualifica di Direttore Tecnico</w:t>
      </w:r>
      <w:r>
        <w:rPr>
          <w:rFonts w:ascii="Titillium" w:eastAsia="Titillium" w:hAnsi="Titillium" w:cs="Titillium"/>
          <w:i/>
          <w:sz w:val="21"/>
          <w:szCs w:val="21"/>
        </w:rPr>
        <w:t xml:space="preserve"> </w:t>
      </w:r>
      <w:r>
        <w:rPr>
          <w:rFonts w:ascii="Titillium" w:eastAsia="Titillium" w:hAnsi="Titillium" w:cs="Titillium"/>
          <w:sz w:val="21"/>
          <w:szCs w:val="21"/>
        </w:rPr>
        <w:t>i seguenti soggetti:</w:t>
      </w:r>
    </w:p>
    <w:p w14:paraId="4F01F8DB" w14:textId="77777777" w:rsidR="009F65FE" w:rsidRDefault="009F65FE">
      <w:pPr>
        <w:spacing w:line="276" w:lineRule="auto"/>
        <w:rPr>
          <w:rFonts w:ascii="Titillium" w:eastAsia="Titillium" w:hAnsi="Titillium" w:cs="Titillium"/>
          <w:sz w:val="21"/>
          <w:szCs w:val="21"/>
        </w:rPr>
      </w:pPr>
    </w:p>
    <w:tbl>
      <w:tblPr>
        <w:tblStyle w:val="aff4"/>
        <w:tblW w:w="9918" w:type="dxa"/>
        <w:jc w:val="center"/>
        <w:tblInd w:w="0" w:type="dxa"/>
        <w:tblLayout w:type="fixed"/>
        <w:tblLook w:val="0400" w:firstRow="0" w:lastRow="0" w:firstColumn="0" w:lastColumn="0" w:noHBand="0" w:noVBand="1"/>
      </w:tblPr>
      <w:tblGrid>
        <w:gridCol w:w="2435"/>
        <w:gridCol w:w="2082"/>
        <w:gridCol w:w="2128"/>
        <w:gridCol w:w="3273"/>
      </w:tblGrid>
      <w:tr w:rsidR="009F65FE" w14:paraId="6CE67683" w14:textId="77777777">
        <w:trPr>
          <w:trHeight w:val="576"/>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19B4DA41"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2082" w:type="dxa"/>
            <w:tcBorders>
              <w:top w:val="single" w:sz="4" w:space="0" w:color="000000"/>
              <w:left w:val="single" w:sz="4" w:space="0" w:color="000000"/>
              <w:bottom w:val="single" w:sz="4" w:space="0" w:color="000000"/>
              <w:right w:val="single" w:sz="4" w:space="0" w:color="000000"/>
            </w:tcBorders>
            <w:vAlign w:val="center"/>
          </w:tcPr>
          <w:p w14:paraId="4A25AA48"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2128" w:type="dxa"/>
            <w:tcBorders>
              <w:top w:val="single" w:sz="4" w:space="0" w:color="000000"/>
              <w:left w:val="single" w:sz="4" w:space="0" w:color="000000"/>
              <w:bottom w:val="nil"/>
              <w:right w:val="single" w:sz="4" w:space="0" w:color="000000"/>
            </w:tcBorders>
            <w:vAlign w:val="center"/>
          </w:tcPr>
          <w:p w14:paraId="22026E9D"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3273" w:type="dxa"/>
            <w:tcBorders>
              <w:top w:val="single" w:sz="4" w:space="0" w:color="000000"/>
              <w:left w:val="single" w:sz="4" w:space="0" w:color="000000"/>
              <w:bottom w:val="nil"/>
              <w:right w:val="single" w:sz="4" w:space="0" w:color="000000"/>
            </w:tcBorders>
            <w:vAlign w:val="center"/>
          </w:tcPr>
          <w:p w14:paraId="525A4A6F"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r>
      <w:tr w:rsidR="009F65FE" w14:paraId="032BF7B3" w14:textId="77777777">
        <w:trPr>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605D78E6" w14:textId="77777777" w:rsidR="009F65FE" w:rsidRDefault="009F65FE">
            <w:pPr>
              <w:spacing w:line="276" w:lineRule="auto"/>
              <w:jc w:val="center"/>
              <w:rPr>
                <w:rFonts w:ascii="Titillium" w:eastAsia="Titillium" w:hAnsi="Titillium" w:cs="Titillium"/>
                <w:sz w:val="21"/>
                <w:szCs w:val="21"/>
              </w:rPr>
            </w:pPr>
          </w:p>
          <w:p w14:paraId="7CF3EC63" w14:textId="77777777" w:rsidR="009F65FE" w:rsidRDefault="009F65FE">
            <w:pPr>
              <w:spacing w:line="276" w:lineRule="auto"/>
              <w:jc w:val="center"/>
              <w:rPr>
                <w:rFonts w:ascii="Titillium" w:eastAsia="Titillium" w:hAnsi="Titillium" w:cs="Titillium"/>
                <w:sz w:val="21"/>
                <w:szCs w:val="21"/>
              </w:rPr>
            </w:pPr>
          </w:p>
        </w:tc>
        <w:tc>
          <w:tcPr>
            <w:tcW w:w="2082" w:type="dxa"/>
            <w:tcBorders>
              <w:top w:val="single" w:sz="4" w:space="0" w:color="000000"/>
              <w:left w:val="single" w:sz="4" w:space="0" w:color="000000"/>
              <w:bottom w:val="single" w:sz="4" w:space="0" w:color="000000"/>
              <w:right w:val="single" w:sz="4" w:space="0" w:color="000000"/>
            </w:tcBorders>
            <w:vAlign w:val="center"/>
          </w:tcPr>
          <w:p w14:paraId="34C09431" w14:textId="77777777" w:rsidR="009F65FE" w:rsidRDefault="009F65FE">
            <w:pPr>
              <w:spacing w:line="276" w:lineRule="auto"/>
              <w:jc w:val="center"/>
              <w:rPr>
                <w:rFonts w:ascii="Titillium" w:eastAsia="Titillium" w:hAnsi="Titillium" w:cs="Titillium"/>
                <w:sz w:val="21"/>
                <w:szCs w:val="21"/>
              </w:rPr>
            </w:pPr>
          </w:p>
        </w:tc>
        <w:tc>
          <w:tcPr>
            <w:tcW w:w="2128" w:type="dxa"/>
            <w:tcBorders>
              <w:top w:val="single" w:sz="4" w:space="0" w:color="000000"/>
              <w:left w:val="single" w:sz="4" w:space="0" w:color="000000"/>
              <w:bottom w:val="single" w:sz="4" w:space="0" w:color="000000"/>
              <w:right w:val="single" w:sz="4" w:space="0" w:color="000000"/>
            </w:tcBorders>
          </w:tcPr>
          <w:p w14:paraId="5B01E9F3" w14:textId="77777777" w:rsidR="009F65FE" w:rsidRDefault="009F65FE">
            <w:pPr>
              <w:spacing w:line="276" w:lineRule="auto"/>
              <w:jc w:val="center"/>
              <w:rPr>
                <w:rFonts w:ascii="Titillium" w:eastAsia="Titillium" w:hAnsi="Titillium" w:cs="Titillium"/>
                <w:sz w:val="21"/>
                <w:szCs w:val="21"/>
              </w:rPr>
            </w:pPr>
          </w:p>
        </w:tc>
        <w:tc>
          <w:tcPr>
            <w:tcW w:w="3273" w:type="dxa"/>
            <w:tcBorders>
              <w:top w:val="single" w:sz="4" w:space="0" w:color="000000"/>
              <w:left w:val="single" w:sz="4" w:space="0" w:color="000000"/>
              <w:bottom w:val="single" w:sz="4" w:space="0" w:color="000000"/>
              <w:right w:val="single" w:sz="4" w:space="0" w:color="000000"/>
            </w:tcBorders>
          </w:tcPr>
          <w:p w14:paraId="7378FA6C" w14:textId="77777777" w:rsidR="009F65FE" w:rsidRDefault="009F65FE">
            <w:pPr>
              <w:spacing w:line="276" w:lineRule="auto"/>
              <w:jc w:val="center"/>
              <w:rPr>
                <w:rFonts w:ascii="Titillium" w:eastAsia="Titillium" w:hAnsi="Titillium" w:cs="Titillium"/>
                <w:sz w:val="21"/>
                <w:szCs w:val="21"/>
              </w:rPr>
            </w:pPr>
          </w:p>
        </w:tc>
      </w:tr>
      <w:tr w:rsidR="009F65FE" w14:paraId="77DDE934" w14:textId="77777777">
        <w:trPr>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48CA483F" w14:textId="77777777" w:rsidR="009F65FE" w:rsidRDefault="009F65FE">
            <w:pPr>
              <w:spacing w:line="276" w:lineRule="auto"/>
              <w:jc w:val="center"/>
              <w:rPr>
                <w:rFonts w:ascii="Titillium" w:eastAsia="Titillium" w:hAnsi="Titillium" w:cs="Titillium"/>
                <w:sz w:val="21"/>
                <w:szCs w:val="21"/>
              </w:rPr>
            </w:pPr>
          </w:p>
          <w:p w14:paraId="134277E7" w14:textId="77777777" w:rsidR="009F65FE" w:rsidRDefault="009F65FE">
            <w:pPr>
              <w:spacing w:line="276" w:lineRule="auto"/>
              <w:jc w:val="center"/>
              <w:rPr>
                <w:rFonts w:ascii="Titillium" w:eastAsia="Titillium" w:hAnsi="Titillium" w:cs="Titillium"/>
                <w:sz w:val="21"/>
                <w:szCs w:val="21"/>
              </w:rPr>
            </w:pPr>
          </w:p>
        </w:tc>
        <w:tc>
          <w:tcPr>
            <w:tcW w:w="2082" w:type="dxa"/>
            <w:tcBorders>
              <w:top w:val="single" w:sz="4" w:space="0" w:color="000000"/>
              <w:left w:val="single" w:sz="4" w:space="0" w:color="000000"/>
              <w:bottom w:val="single" w:sz="4" w:space="0" w:color="000000"/>
              <w:right w:val="single" w:sz="4" w:space="0" w:color="000000"/>
            </w:tcBorders>
            <w:vAlign w:val="center"/>
          </w:tcPr>
          <w:p w14:paraId="77FE8952" w14:textId="77777777" w:rsidR="009F65FE" w:rsidRDefault="009F65FE">
            <w:pPr>
              <w:spacing w:line="276" w:lineRule="auto"/>
              <w:jc w:val="center"/>
              <w:rPr>
                <w:rFonts w:ascii="Titillium" w:eastAsia="Titillium" w:hAnsi="Titillium" w:cs="Titillium"/>
                <w:sz w:val="21"/>
                <w:szCs w:val="21"/>
              </w:rPr>
            </w:pPr>
          </w:p>
        </w:tc>
        <w:tc>
          <w:tcPr>
            <w:tcW w:w="2128" w:type="dxa"/>
            <w:tcBorders>
              <w:top w:val="single" w:sz="4" w:space="0" w:color="000000"/>
              <w:left w:val="single" w:sz="4" w:space="0" w:color="000000"/>
              <w:bottom w:val="single" w:sz="4" w:space="0" w:color="000000"/>
              <w:right w:val="single" w:sz="4" w:space="0" w:color="000000"/>
            </w:tcBorders>
          </w:tcPr>
          <w:p w14:paraId="7AE6F5AA" w14:textId="77777777" w:rsidR="009F65FE" w:rsidRDefault="009F65FE">
            <w:pPr>
              <w:spacing w:line="276" w:lineRule="auto"/>
              <w:jc w:val="center"/>
              <w:rPr>
                <w:rFonts w:ascii="Titillium" w:eastAsia="Titillium" w:hAnsi="Titillium" w:cs="Titillium"/>
                <w:sz w:val="21"/>
                <w:szCs w:val="21"/>
              </w:rPr>
            </w:pPr>
          </w:p>
        </w:tc>
        <w:tc>
          <w:tcPr>
            <w:tcW w:w="3273" w:type="dxa"/>
            <w:tcBorders>
              <w:top w:val="single" w:sz="4" w:space="0" w:color="000000"/>
              <w:left w:val="single" w:sz="4" w:space="0" w:color="000000"/>
              <w:bottom w:val="single" w:sz="4" w:space="0" w:color="000000"/>
              <w:right w:val="single" w:sz="4" w:space="0" w:color="000000"/>
            </w:tcBorders>
          </w:tcPr>
          <w:p w14:paraId="096B63BC" w14:textId="77777777" w:rsidR="009F65FE" w:rsidRDefault="009F65FE">
            <w:pPr>
              <w:spacing w:line="276" w:lineRule="auto"/>
              <w:jc w:val="center"/>
              <w:rPr>
                <w:rFonts w:ascii="Titillium" w:eastAsia="Titillium" w:hAnsi="Titillium" w:cs="Titillium"/>
                <w:sz w:val="21"/>
                <w:szCs w:val="21"/>
              </w:rPr>
            </w:pPr>
          </w:p>
        </w:tc>
      </w:tr>
    </w:tbl>
    <w:p w14:paraId="17485BCA" w14:textId="77777777" w:rsidR="009F65FE" w:rsidRDefault="009F65FE">
      <w:pPr>
        <w:spacing w:line="276" w:lineRule="auto"/>
        <w:rPr>
          <w:rFonts w:ascii="Titillium" w:eastAsia="Titillium" w:hAnsi="Titillium" w:cs="Titillium"/>
          <w:sz w:val="21"/>
          <w:szCs w:val="21"/>
        </w:rPr>
      </w:pPr>
    </w:p>
    <w:p w14:paraId="4DF61D70"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w:t>
      </w:r>
      <w:r>
        <w:rPr>
          <w:rFonts w:ascii="Titillium" w:eastAsia="Titillium" w:hAnsi="Titillium" w:cs="Titillium"/>
          <w:b/>
          <w:sz w:val="21"/>
          <w:szCs w:val="21"/>
        </w:rPr>
        <w:t>il socio amministratore</w:t>
      </w:r>
      <w:r>
        <w:rPr>
          <w:rFonts w:ascii="Titillium" w:eastAsia="Titillium" w:hAnsi="Titillium" w:cs="Titillium"/>
          <w:sz w:val="21"/>
          <w:szCs w:val="21"/>
        </w:rPr>
        <w:t xml:space="preserve"> in caso di società in nome collettivo </w:t>
      </w:r>
      <w:r>
        <w:rPr>
          <w:rFonts w:ascii="Titillium" w:eastAsia="Titillium" w:hAnsi="Titillium" w:cs="Titillium"/>
          <w:b/>
          <w:sz w:val="21"/>
          <w:szCs w:val="21"/>
        </w:rPr>
        <w:t>o i soci accomandatari</w:t>
      </w:r>
      <w:r>
        <w:rPr>
          <w:rFonts w:ascii="Titillium" w:eastAsia="Titillium" w:hAnsi="Titillium" w:cs="Titillium"/>
          <w:sz w:val="21"/>
          <w:szCs w:val="21"/>
        </w:rPr>
        <w:t xml:space="preserve"> in caso di società in accomandita semplice è / sono:</w:t>
      </w:r>
    </w:p>
    <w:p w14:paraId="75D42F58" w14:textId="77777777" w:rsidR="009F65FE" w:rsidRDefault="009F65FE">
      <w:pPr>
        <w:spacing w:line="276" w:lineRule="auto"/>
        <w:rPr>
          <w:rFonts w:ascii="Titillium" w:eastAsia="Titillium" w:hAnsi="Titillium" w:cs="Titillium"/>
          <w:sz w:val="21"/>
          <w:szCs w:val="21"/>
        </w:rPr>
      </w:pPr>
    </w:p>
    <w:tbl>
      <w:tblPr>
        <w:tblStyle w:val="aff5"/>
        <w:tblW w:w="9923" w:type="dxa"/>
        <w:jc w:val="center"/>
        <w:tblInd w:w="0" w:type="dxa"/>
        <w:tblLayout w:type="fixed"/>
        <w:tblLook w:val="0400" w:firstRow="0" w:lastRow="0" w:firstColumn="0" w:lastColumn="0" w:noHBand="0" w:noVBand="1"/>
      </w:tblPr>
      <w:tblGrid>
        <w:gridCol w:w="2880"/>
        <w:gridCol w:w="2081"/>
        <w:gridCol w:w="2127"/>
        <w:gridCol w:w="2835"/>
      </w:tblGrid>
      <w:tr w:rsidR="009F65FE" w14:paraId="0F2D096B" w14:textId="77777777">
        <w:trPr>
          <w:trHeight w:val="576"/>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6829451E"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2081" w:type="dxa"/>
            <w:tcBorders>
              <w:top w:val="single" w:sz="4" w:space="0" w:color="000000"/>
              <w:left w:val="single" w:sz="4" w:space="0" w:color="000000"/>
              <w:bottom w:val="single" w:sz="4" w:space="0" w:color="000000"/>
              <w:right w:val="single" w:sz="4" w:space="0" w:color="000000"/>
            </w:tcBorders>
            <w:vAlign w:val="center"/>
          </w:tcPr>
          <w:p w14:paraId="124D7D5F"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2127" w:type="dxa"/>
            <w:tcBorders>
              <w:top w:val="single" w:sz="4" w:space="0" w:color="000000"/>
              <w:left w:val="single" w:sz="4" w:space="0" w:color="000000"/>
              <w:bottom w:val="nil"/>
              <w:right w:val="single" w:sz="4" w:space="0" w:color="000000"/>
            </w:tcBorders>
            <w:vAlign w:val="center"/>
          </w:tcPr>
          <w:p w14:paraId="41CF6773"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835" w:type="dxa"/>
            <w:tcBorders>
              <w:top w:val="single" w:sz="4" w:space="0" w:color="000000"/>
              <w:left w:val="single" w:sz="4" w:space="0" w:color="000000"/>
              <w:bottom w:val="nil"/>
              <w:right w:val="single" w:sz="4" w:space="0" w:color="000000"/>
            </w:tcBorders>
            <w:vAlign w:val="center"/>
          </w:tcPr>
          <w:p w14:paraId="4CC07A9F"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r>
      <w:tr w:rsidR="009F65FE" w14:paraId="35857285" w14:textId="77777777">
        <w:trPr>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4DCF17AD" w14:textId="77777777" w:rsidR="009F65FE" w:rsidRDefault="009F65FE">
            <w:pPr>
              <w:spacing w:line="276" w:lineRule="auto"/>
              <w:jc w:val="center"/>
              <w:rPr>
                <w:rFonts w:ascii="Titillium" w:eastAsia="Titillium" w:hAnsi="Titillium" w:cs="Titillium"/>
                <w:sz w:val="21"/>
                <w:szCs w:val="21"/>
              </w:rPr>
            </w:pPr>
          </w:p>
          <w:p w14:paraId="1CCC1E78" w14:textId="77777777" w:rsidR="009F65FE" w:rsidRDefault="009F65FE">
            <w:pPr>
              <w:spacing w:line="276" w:lineRule="auto"/>
              <w:jc w:val="center"/>
              <w:rPr>
                <w:rFonts w:ascii="Titillium" w:eastAsia="Titillium" w:hAnsi="Titillium" w:cs="Titillium"/>
                <w:sz w:val="21"/>
                <w:szCs w:val="21"/>
              </w:rPr>
            </w:pPr>
          </w:p>
        </w:tc>
        <w:tc>
          <w:tcPr>
            <w:tcW w:w="2081" w:type="dxa"/>
            <w:tcBorders>
              <w:top w:val="single" w:sz="4" w:space="0" w:color="000000"/>
              <w:left w:val="single" w:sz="4" w:space="0" w:color="000000"/>
              <w:bottom w:val="single" w:sz="4" w:space="0" w:color="000000"/>
              <w:right w:val="single" w:sz="4" w:space="0" w:color="000000"/>
            </w:tcBorders>
            <w:vAlign w:val="center"/>
          </w:tcPr>
          <w:p w14:paraId="5DB9942B" w14:textId="77777777" w:rsidR="009F65FE" w:rsidRDefault="009F65FE">
            <w:pPr>
              <w:spacing w:line="276" w:lineRule="auto"/>
              <w:jc w:val="center"/>
              <w:rPr>
                <w:rFonts w:ascii="Titillium" w:eastAsia="Titillium" w:hAnsi="Titillium" w:cs="Titillium"/>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337626C4" w14:textId="77777777" w:rsidR="009F65FE" w:rsidRDefault="009F65FE">
            <w:pPr>
              <w:spacing w:line="276" w:lineRule="auto"/>
              <w:jc w:val="center"/>
              <w:rPr>
                <w:rFonts w:ascii="Titillium" w:eastAsia="Titillium" w:hAnsi="Titillium" w:cs="Titillium"/>
                <w:sz w:val="21"/>
                <w:szCs w:val="21"/>
              </w:rPr>
            </w:pPr>
          </w:p>
        </w:tc>
        <w:tc>
          <w:tcPr>
            <w:tcW w:w="2835" w:type="dxa"/>
            <w:tcBorders>
              <w:top w:val="single" w:sz="4" w:space="0" w:color="000000"/>
              <w:left w:val="single" w:sz="4" w:space="0" w:color="000000"/>
              <w:bottom w:val="single" w:sz="4" w:space="0" w:color="000000"/>
              <w:right w:val="single" w:sz="4" w:space="0" w:color="000000"/>
            </w:tcBorders>
          </w:tcPr>
          <w:p w14:paraId="56B9EB51" w14:textId="77777777" w:rsidR="009F65FE" w:rsidRDefault="009F65FE">
            <w:pPr>
              <w:spacing w:line="276" w:lineRule="auto"/>
              <w:jc w:val="center"/>
              <w:rPr>
                <w:rFonts w:ascii="Titillium" w:eastAsia="Titillium" w:hAnsi="Titillium" w:cs="Titillium"/>
                <w:sz w:val="21"/>
                <w:szCs w:val="21"/>
              </w:rPr>
            </w:pPr>
          </w:p>
        </w:tc>
      </w:tr>
      <w:tr w:rsidR="009F65FE" w14:paraId="197DA2A7" w14:textId="77777777">
        <w:trPr>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5B8727F7" w14:textId="77777777" w:rsidR="009F65FE" w:rsidRDefault="009F65FE">
            <w:pPr>
              <w:spacing w:line="276" w:lineRule="auto"/>
              <w:jc w:val="center"/>
              <w:rPr>
                <w:rFonts w:ascii="Titillium" w:eastAsia="Titillium" w:hAnsi="Titillium" w:cs="Titillium"/>
                <w:sz w:val="21"/>
                <w:szCs w:val="21"/>
              </w:rPr>
            </w:pPr>
          </w:p>
          <w:p w14:paraId="6B150BCA" w14:textId="77777777" w:rsidR="009F65FE" w:rsidRDefault="009F65FE">
            <w:pPr>
              <w:spacing w:line="276" w:lineRule="auto"/>
              <w:jc w:val="center"/>
              <w:rPr>
                <w:rFonts w:ascii="Titillium" w:eastAsia="Titillium" w:hAnsi="Titillium" w:cs="Titillium"/>
                <w:sz w:val="21"/>
                <w:szCs w:val="21"/>
              </w:rPr>
            </w:pPr>
          </w:p>
        </w:tc>
        <w:tc>
          <w:tcPr>
            <w:tcW w:w="2081" w:type="dxa"/>
            <w:tcBorders>
              <w:top w:val="single" w:sz="4" w:space="0" w:color="000000"/>
              <w:left w:val="single" w:sz="4" w:space="0" w:color="000000"/>
              <w:bottom w:val="single" w:sz="4" w:space="0" w:color="000000"/>
              <w:right w:val="single" w:sz="4" w:space="0" w:color="000000"/>
            </w:tcBorders>
            <w:vAlign w:val="center"/>
          </w:tcPr>
          <w:p w14:paraId="21723527" w14:textId="77777777" w:rsidR="009F65FE" w:rsidRDefault="009F65FE">
            <w:pPr>
              <w:spacing w:line="276" w:lineRule="auto"/>
              <w:jc w:val="center"/>
              <w:rPr>
                <w:rFonts w:ascii="Titillium" w:eastAsia="Titillium" w:hAnsi="Titillium" w:cs="Titillium"/>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356DDAE2" w14:textId="77777777" w:rsidR="009F65FE" w:rsidRDefault="009F65FE">
            <w:pPr>
              <w:spacing w:line="276" w:lineRule="auto"/>
              <w:jc w:val="center"/>
              <w:rPr>
                <w:rFonts w:ascii="Titillium" w:eastAsia="Titillium" w:hAnsi="Titillium" w:cs="Titillium"/>
                <w:sz w:val="21"/>
                <w:szCs w:val="21"/>
              </w:rPr>
            </w:pPr>
          </w:p>
        </w:tc>
        <w:tc>
          <w:tcPr>
            <w:tcW w:w="2835" w:type="dxa"/>
            <w:tcBorders>
              <w:top w:val="single" w:sz="4" w:space="0" w:color="000000"/>
              <w:left w:val="single" w:sz="4" w:space="0" w:color="000000"/>
              <w:bottom w:val="single" w:sz="4" w:space="0" w:color="000000"/>
              <w:right w:val="single" w:sz="4" w:space="0" w:color="000000"/>
            </w:tcBorders>
          </w:tcPr>
          <w:p w14:paraId="5272CF0A" w14:textId="77777777" w:rsidR="009F65FE" w:rsidRDefault="009F65FE">
            <w:pPr>
              <w:spacing w:line="276" w:lineRule="auto"/>
              <w:jc w:val="center"/>
              <w:rPr>
                <w:rFonts w:ascii="Titillium" w:eastAsia="Titillium" w:hAnsi="Titillium" w:cs="Titillium"/>
                <w:sz w:val="21"/>
                <w:szCs w:val="21"/>
              </w:rPr>
            </w:pPr>
          </w:p>
        </w:tc>
      </w:tr>
    </w:tbl>
    <w:p w14:paraId="03D5A95A" w14:textId="77777777" w:rsidR="009F65FE" w:rsidRDefault="009F65FE">
      <w:pPr>
        <w:spacing w:line="276" w:lineRule="auto"/>
        <w:rPr>
          <w:rFonts w:ascii="Titillium" w:eastAsia="Titillium" w:hAnsi="Titillium" w:cs="Titillium"/>
          <w:sz w:val="21"/>
          <w:szCs w:val="21"/>
        </w:rPr>
      </w:pPr>
    </w:p>
    <w:p w14:paraId="36CE9C84"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il </w:t>
      </w:r>
      <w:r>
        <w:rPr>
          <w:rFonts w:ascii="Titillium" w:eastAsia="Titillium" w:hAnsi="Titillium" w:cs="Titillium"/>
          <w:b/>
          <w:sz w:val="21"/>
          <w:szCs w:val="21"/>
        </w:rPr>
        <w:t>socio unico</w:t>
      </w:r>
      <w:r>
        <w:rPr>
          <w:rFonts w:ascii="Titillium" w:eastAsia="Titillium" w:hAnsi="Titillium" w:cs="Titillium"/>
          <w:sz w:val="21"/>
          <w:szCs w:val="21"/>
        </w:rPr>
        <w:t xml:space="preserve"> è;</w:t>
      </w:r>
    </w:p>
    <w:p w14:paraId="2F573DFC" w14:textId="77777777" w:rsidR="009F65FE" w:rsidRDefault="009F65FE">
      <w:pPr>
        <w:spacing w:line="276" w:lineRule="auto"/>
        <w:rPr>
          <w:rFonts w:ascii="Titillium" w:eastAsia="Titillium" w:hAnsi="Titillium" w:cs="Titillium"/>
          <w:sz w:val="21"/>
          <w:szCs w:val="21"/>
        </w:rPr>
      </w:pPr>
    </w:p>
    <w:tbl>
      <w:tblPr>
        <w:tblStyle w:val="aff6"/>
        <w:tblW w:w="9923" w:type="dxa"/>
        <w:jc w:val="center"/>
        <w:tblInd w:w="0" w:type="dxa"/>
        <w:tblLayout w:type="fixed"/>
        <w:tblLook w:val="0400" w:firstRow="0" w:lastRow="0" w:firstColumn="0" w:lastColumn="0" w:noHBand="0" w:noVBand="1"/>
      </w:tblPr>
      <w:tblGrid>
        <w:gridCol w:w="2563"/>
        <w:gridCol w:w="2126"/>
        <w:gridCol w:w="2399"/>
        <w:gridCol w:w="2835"/>
      </w:tblGrid>
      <w:tr w:rsidR="009F65FE" w14:paraId="0D00E8AF" w14:textId="77777777">
        <w:trPr>
          <w:trHeight w:val="576"/>
          <w:jc w:val="center"/>
        </w:trPr>
        <w:tc>
          <w:tcPr>
            <w:tcW w:w="2563" w:type="dxa"/>
            <w:tcBorders>
              <w:top w:val="single" w:sz="4" w:space="0" w:color="000000"/>
              <w:left w:val="single" w:sz="4" w:space="0" w:color="000000"/>
              <w:bottom w:val="single" w:sz="4" w:space="0" w:color="000000"/>
              <w:right w:val="single" w:sz="4" w:space="0" w:color="000000"/>
            </w:tcBorders>
            <w:vAlign w:val="center"/>
          </w:tcPr>
          <w:p w14:paraId="40F1B1B5"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2126" w:type="dxa"/>
            <w:tcBorders>
              <w:top w:val="single" w:sz="4" w:space="0" w:color="000000"/>
              <w:left w:val="single" w:sz="4" w:space="0" w:color="000000"/>
              <w:bottom w:val="single" w:sz="4" w:space="0" w:color="000000"/>
              <w:right w:val="single" w:sz="4" w:space="0" w:color="000000"/>
            </w:tcBorders>
            <w:vAlign w:val="center"/>
          </w:tcPr>
          <w:p w14:paraId="133B3955"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2399" w:type="dxa"/>
            <w:tcBorders>
              <w:top w:val="single" w:sz="4" w:space="0" w:color="000000"/>
              <w:left w:val="single" w:sz="4" w:space="0" w:color="000000"/>
              <w:bottom w:val="nil"/>
              <w:right w:val="single" w:sz="4" w:space="0" w:color="000000"/>
            </w:tcBorders>
            <w:vAlign w:val="center"/>
          </w:tcPr>
          <w:p w14:paraId="62133DC8"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835" w:type="dxa"/>
            <w:tcBorders>
              <w:top w:val="single" w:sz="4" w:space="0" w:color="000000"/>
              <w:left w:val="single" w:sz="4" w:space="0" w:color="000000"/>
              <w:bottom w:val="nil"/>
              <w:right w:val="single" w:sz="4" w:space="0" w:color="000000"/>
            </w:tcBorders>
            <w:vAlign w:val="center"/>
          </w:tcPr>
          <w:p w14:paraId="1735FB93"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r>
      <w:tr w:rsidR="009F65FE" w14:paraId="4ED5FD06" w14:textId="77777777">
        <w:trPr>
          <w:jc w:val="center"/>
        </w:trPr>
        <w:tc>
          <w:tcPr>
            <w:tcW w:w="2563" w:type="dxa"/>
            <w:tcBorders>
              <w:top w:val="single" w:sz="4" w:space="0" w:color="000000"/>
              <w:left w:val="single" w:sz="4" w:space="0" w:color="000000"/>
              <w:bottom w:val="single" w:sz="4" w:space="0" w:color="000000"/>
              <w:right w:val="single" w:sz="4" w:space="0" w:color="000000"/>
            </w:tcBorders>
            <w:vAlign w:val="center"/>
          </w:tcPr>
          <w:p w14:paraId="76EB307A" w14:textId="77777777" w:rsidR="009F65FE" w:rsidRDefault="009F65FE">
            <w:pPr>
              <w:spacing w:line="276" w:lineRule="auto"/>
              <w:jc w:val="center"/>
              <w:rPr>
                <w:rFonts w:ascii="Titillium" w:eastAsia="Titillium" w:hAnsi="Titillium" w:cs="Titillium"/>
                <w:sz w:val="21"/>
                <w:szCs w:val="21"/>
              </w:rPr>
            </w:pPr>
          </w:p>
          <w:p w14:paraId="37AFAD49" w14:textId="77777777" w:rsidR="009F65FE" w:rsidRDefault="009F65FE">
            <w:pPr>
              <w:spacing w:line="276" w:lineRule="auto"/>
              <w:jc w:val="center"/>
              <w:rPr>
                <w:rFonts w:ascii="Titillium" w:eastAsia="Titillium" w:hAnsi="Titillium" w:cs="Titillium"/>
                <w:sz w:val="21"/>
                <w:szCs w:val="21"/>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99791D3" w14:textId="77777777" w:rsidR="009F65FE" w:rsidRDefault="009F65FE">
            <w:pPr>
              <w:spacing w:line="276" w:lineRule="auto"/>
              <w:jc w:val="center"/>
              <w:rPr>
                <w:rFonts w:ascii="Titillium" w:eastAsia="Titillium" w:hAnsi="Titillium" w:cs="Titillium"/>
                <w:sz w:val="21"/>
                <w:szCs w:val="21"/>
              </w:rPr>
            </w:pPr>
          </w:p>
        </w:tc>
        <w:tc>
          <w:tcPr>
            <w:tcW w:w="2399" w:type="dxa"/>
            <w:tcBorders>
              <w:top w:val="single" w:sz="4" w:space="0" w:color="000000"/>
              <w:left w:val="single" w:sz="4" w:space="0" w:color="000000"/>
              <w:bottom w:val="single" w:sz="4" w:space="0" w:color="000000"/>
              <w:right w:val="single" w:sz="4" w:space="0" w:color="000000"/>
            </w:tcBorders>
          </w:tcPr>
          <w:p w14:paraId="76C2305A" w14:textId="77777777" w:rsidR="009F65FE" w:rsidRDefault="009F65FE">
            <w:pPr>
              <w:spacing w:line="276" w:lineRule="auto"/>
              <w:jc w:val="center"/>
              <w:rPr>
                <w:rFonts w:ascii="Titillium" w:eastAsia="Titillium" w:hAnsi="Titillium" w:cs="Titillium"/>
                <w:sz w:val="21"/>
                <w:szCs w:val="21"/>
              </w:rPr>
            </w:pPr>
          </w:p>
        </w:tc>
        <w:tc>
          <w:tcPr>
            <w:tcW w:w="2835" w:type="dxa"/>
            <w:tcBorders>
              <w:top w:val="single" w:sz="4" w:space="0" w:color="000000"/>
              <w:left w:val="single" w:sz="4" w:space="0" w:color="000000"/>
              <w:bottom w:val="single" w:sz="4" w:space="0" w:color="000000"/>
              <w:right w:val="single" w:sz="4" w:space="0" w:color="000000"/>
            </w:tcBorders>
          </w:tcPr>
          <w:p w14:paraId="12C5F1B2" w14:textId="77777777" w:rsidR="009F65FE" w:rsidRDefault="009F65FE">
            <w:pPr>
              <w:spacing w:line="276" w:lineRule="auto"/>
              <w:jc w:val="center"/>
              <w:rPr>
                <w:rFonts w:ascii="Titillium" w:eastAsia="Titillium" w:hAnsi="Titillium" w:cs="Titillium"/>
                <w:sz w:val="21"/>
                <w:szCs w:val="21"/>
              </w:rPr>
            </w:pPr>
          </w:p>
        </w:tc>
      </w:tr>
    </w:tbl>
    <w:p w14:paraId="0258B456" w14:textId="77777777" w:rsidR="009F65FE" w:rsidRDefault="009F65FE">
      <w:pPr>
        <w:spacing w:line="276" w:lineRule="auto"/>
        <w:rPr>
          <w:rFonts w:ascii="Titillium" w:eastAsia="Titillium" w:hAnsi="Titillium" w:cs="Titillium"/>
          <w:sz w:val="21"/>
          <w:szCs w:val="21"/>
        </w:rPr>
      </w:pPr>
    </w:p>
    <w:p w14:paraId="200B02F6"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che </w:t>
      </w:r>
      <w:r>
        <w:rPr>
          <w:rFonts w:ascii="Titillium" w:eastAsia="Titillium" w:hAnsi="Titillium" w:cs="Titillium"/>
          <w:b/>
          <w:sz w:val="21"/>
          <w:szCs w:val="21"/>
        </w:rPr>
        <w:t>l’amministratore di fatto</w:t>
      </w:r>
      <w:r>
        <w:rPr>
          <w:rFonts w:ascii="Titillium" w:eastAsia="Titillium" w:hAnsi="Titillium" w:cs="Titillium"/>
          <w:sz w:val="21"/>
          <w:szCs w:val="21"/>
        </w:rPr>
        <w:t xml:space="preserve"> di cui all’art. 94, comma 3, lett. h) del Codice è:</w:t>
      </w:r>
    </w:p>
    <w:p w14:paraId="617D684A" w14:textId="77777777" w:rsidR="009F65FE" w:rsidRDefault="009F65FE">
      <w:pPr>
        <w:spacing w:line="276" w:lineRule="auto"/>
        <w:rPr>
          <w:rFonts w:ascii="Titillium" w:eastAsia="Titillium" w:hAnsi="Titillium" w:cs="Titillium"/>
          <w:sz w:val="21"/>
          <w:szCs w:val="21"/>
        </w:rPr>
      </w:pPr>
    </w:p>
    <w:tbl>
      <w:tblPr>
        <w:tblStyle w:val="aff7"/>
        <w:tblW w:w="9781" w:type="dxa"/>
        <w:tblInd w:w="-120" w:type="dxa"/>
        <w:tblLayout w:type="fixed"/>
        <w:tblLook w:val="0400" w:firstRow="0" w:lastRow="0" w:firstColumn="0" w:lastColumn="0" w:noHBand="0" w:noVBand="1"/>
      </w:tblPr>
      <w:tblGrid>
        <w:gridCol w:w="2268"/>
        <w:gridCol w:w="2163"/>
        <w:gridCol w:w="2373"/>
        <w:gridCol w:w="2977"/>
      </w:tblGrid>
      <w:tr w:rsidR="009F65FE" w14:paraId="6FFFDB7C" w14:textId="77777777">
        <w:trPr>
          <w:trHeight w:val="576"/>
        </w:trPr>
        <w:tc>
          <w:tcPr>
            <w:tcW w:w="2268" w:type="dxa"/>
            <w:tcBorders>
              <w:top w:val="single" w:sz="4" w:space="0" w:color="000000"/>
              <w:left w:val="single" w:sz="4" w:space="0" w:color="000000"/>
              <w:bottom w:val="single" w:sz="4" w:space="0" w:color="000000"/>
              <w:right w:val="single" w:sz="4" w:space="0" w:color="000000"/>
            </w:tcBorders>
            <w:vAlign w:val="center"/>
          </w:tcPr>
          <w:p w14:paraId="2316D652"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2163" w:type="dxa"/>
            <w:tcBorders>
              <w:top w:val="single" w:sz="4" w:space="0" w:color="000000"/>
              <w:left w:val="single" w:sz="4" w:space="0" w:color="000000"/>
              <w:bottom w:val="single" w:sz="4" w:space="0" w:color="000000"/>
              <w:right w:val="single" w:sz="4" w:space="0" w:color="000000"/>
            </w:tcBorders>
            <w:vAlign w:val="center"/>
          </w:tcPr>
          <w:p w14:paraId="3E28CFC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2373" w:type="dxa"/>
            <w:tcBorders>
              <w:top w:val="single" w:sz="4" w:space="0" w:color="000000"/>
              <w:left w:val="single" w:sz="4" w:space="0" w:color="000000"/>
              <w:bottom w:val="nil"/>
              <w:right w:val="single" w:sz="4" w:space="0" w:color="000000"/>
            </w:tcBorders>
            <w:vAlign w:val="center"/>
          </w:tcPr>
          <w:p w14:paraId="3EB88DF1"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977" w:type="dxa"/>
            <w:tcBorders>
              <w:top w:val="single" w:sz="4" w:space="0" w:color="000000"/>
              <w:left w:val="single" w:sz="4" w:space="0" w:color="000000"/>
              <w:bottom w:val="nil"/>
              <w:right w:val="single" w:sz="4" w:space="0" w:color="000000"/>
            </w:tcBorders>
            <w:vAlign w:val="center"/>
          </w:tcPr>
          <w:p w14:paraId="492A1F4E"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r>
      <w:tr w:rsidR="009F65FE" w14:paraId="41FFD683" w14:textId="77777777">
        <w:tc>
          <w:tcPr>
            <w:tcW w:w="2268" w:type="dxa"/>
            <w:tcBorders>
              <w:top w:val="single" w:sz="4" w:space="0" w:color="000000"/>
              <w:left w:val="single" w:sz="4" w:space="0" w:color="000000"/>
              <w:bottom w:val="single" w:sz="4" w:space="0" w:color="000000"/>
              <w:right w:val="single" w:sz="4" w:space="0" w:color="000000"/>
            </w:tcBorders>
            <w:vAlign w:val="center"/>
          </w:tcPr>
          <w:p w14:paraId="45941051" w14:textId="77777777" w:rsidR="009F65FE" w:rsidRDefault="009F65FE">
            <w:pPr>
              <w:spacing w:line="276" w:lineRule="auto"/>
              <w:jc w:val="center"/>
              <w:rPr>
                <w:rFonts w:ascii="Titillium" w:eastAsia="Titillium" w:hAnsi="Titillium" w:cs="Titillium"/>
                <w:sz w:val="21"/>
                <w:szCs w:val="21"/>
              </w:rPr>
            </w:pPr>
          </w:p>
          <w:p w14:paraId="5C42DF65" w14:textId="77777777" w:rsidR="009F65FE" w:rsidRDefault="009F65FE">
            <w:pPr>
              <w:spacing w:line="276" w:lineRule="auto"/>
              <w:jc w:val="center"/>
              <w:rPr>
                <w:rFonts w:ascii="Titillium" w:eastAsia="Titillium" w:hAnsi="Titillium" w:cs="Titillium"/>
                <w:sz w:val="21"/>
                <w:szCs w:val="21"/>
              </w:rPr>
            </w:pPr>
          </w:p>
        </w:tc>
        <w:tc>
          <w:tcPr>
            <w:tcW w:w="2163" w:type="dxa"/>
            <w:tcBorders>
              <w:top w:val="single" w:sz="4" w:space="0" w:color="000000"/>
              <w:left w:val="single" w:sz="4" w:space="0" w:color="000000"/>
              <w:bottom w:val="single" w:sz="4" w:space="0" w:color="000000"/>
              <w:right w:val="single" w:sz="4" w:space="0" w:color="000000"/>
            </w:tcBorders>
            <w:vAlign w:val="center"/>
          </w:tcPr>
          <w:p w14:paraId="0C811C15" w14:textId="77777777" w:rsidR="009F65FE" w:rsidRDefault="009F65FE">
            <w:pPr>
              <w:spacing w:line="276" w:lineRule="auto"/>
              <w:jc w:val="center"/>
              <w:rPr>
                <w:rFonts w:ascii="Titillium" w:eastAsia="Titillium" w:hAnsi="Titillium" w:cs="Titillium"/>
                <w:sz w:val="21"/>
                <w:szCs w:val="21"/>
              </w:rPr>
            </w:pPr>
          </w:p>
        </w:tc>
        <w:tc>
          <w:tcPr>
            <w:tcW w:w="2373" w:type="dxa"/>
            <w:tcBorders>
              <w:top w:val="single" w:sz="4" w:space="0" w:color="000000"/>
              <w:left w:val="single" w:sz="4" w:space="0" w:color="000000"/>
              <w:bottom w:val="single" w:sz="4" w:space="0" w:color="000000"/>
              <w:right w:val="single" w:sz="4" w:space="0" w:color="000000"/>
            </w:tcBorders>
          </w:tcPr>
          <w:p w14:paraId="501F04CE" w14:textId="77777777" w:rsidR="009F65FE" w:rsidRDefault="009F65FE">
            <w:pPr>
              <w:spacing w:line="276" w:lineRule="auto"/>
              <w:jc w:val="center"/>
              <w:rPr>
                <w:rFonts w:ascii="Titillium" w:eastAsia="Titillium" w:hAnsi="Titillium" w:cs="Titillium"/>
                <w:sz w:val="21"/>
                <w:szCs w:val="21"/>
              </w:rPr>
            </w:pPr>
          </w:p>
        </w:tc>
        <w:tc>
          <w:tcPr>
            <w:tcW w:w="2977" w:type="dxa"/>
            <w:tcBorders>
              <w:top w:val="single" w:sz="4" w:space="0" w:color="000000"/>
              <w:left w:val="single" w:sz="4" w:space="0" w:color="000000"/>
              <w:bottom w:val="single" w:sz="4" w:space="0" w:color="000000"/>
              <w:right w:val="single" w:sz="4" w:space="0" w:color="000000"/>
            </w:tcBorders>
          </w:tcPr>
          <w:p w14:paraId="51082EFF" w14:textId="77777777" w:rsidR="009F65FE" w:rsidRDefault="009F65FE">
            <w:pPr>
              <w:spacing w:line="276" w:lineRule="auto"/>
              <w:jc w:val="center"/>
              <w:rPr>
                <w:rFonts w:ascii="Titillium" w:eastAsia="Titillium" w:hAnsi="Titillium" w:cs="Titillium"/>
                <w:sz w:val="21"/>
                <w:szCs w:val="21"/>
              </w:rPr>
            </w:pPr>
          </w:p>
        </w:tc>
      </w:tr>
      <w:tr w:rsidR="009F65FE" w14:paraId="27CB2B37" w14:textId="77777777">
        <w:tc>
          <w:tcPr>
            <w:tcW w:w="2268" w:type="dxa"/>
            <w:tcBorders>
              <w:top w:val="single" w:sz="4" w:space="0" w:color="000000"/>
              <w:left w:val="single" w:sz="4" w:space="0" w:color="000000"/>
              <w:bottom w:val="single" w:sz="4" w:space="0" w:color="000000"/>
              <w:right w:val="single" w:sz="4" w:space="0" w:color="000000"/>
            </w:tcBorders>
            <w:vAlign w:val="center"/>
          </w:tcPr>
          <w:p w14:paraId="0ED52C52" w14:textId="77777777" w:rsidR="009F65FE" w:rsidRDefault="009F65FE">
            <w:pPr>
              <w:spacing w:line="276" w:lineRule="auto"/>
              <w:jc w:val="center"/>
              <w:rPr>
                <w:rFonts w:ascii="Titillium" w:eastAsia="Titillium" w:hAnsi="Titillium" w:cs="Titillium"/>
                <w:sz w:val="21"/>
                <w:szCs w:val="21"/>
              </w:rPr>
            </w:pPr>
          </w:p>
          <w:p w14:paraId="2311F944" w14:textId="77777777" w:rsidR="009F65FE" w:rsidRDefault="009F65FE">
            <w:pPr>
              <w:spacing w:line="276" w:lineRule="auto"/>
              <w:jc w:val="center"/>
              <w:rPr>
                <w:rFonts w:ascii="Titillium" w:eastAsia="Titillium" w:hAnsi="Titillium" w:cs="Titillium"/>
                <w:sz w:val="21"/>
                <w:szCs w:val="21"/>
              </w:rPr>
            </w:pPr>
          </w:p>
        </w:tc>
        <w:tc>
          <w:tcPr>
            <w:tcW w:w="2163" w:type="dxa"/>
            <w:tcBorders>
              <w:top w:val="single" w:sz="4" w:space="0" w:color="000000"/>
              <w:left w:val="single" w:sz="4" w:space="0" w:color="000000"/>
              <w:bottom w:val="single" w:sz="4" w:space="0" w:color="000000"/>
              <w:right w:val="single" w:sz="4" w:space="0" w:color="000000"/>
            </w:tcBorders>
            <w:vAlign w:val="center"/>
          </w:tcPr>
          <w:p w14:paraId="03947761" w14:textId="77777777" w:rsidR="009F65FE" w:rsidRDefault="009F65FE">
            <w:pPr>
              <w:spacing w:line="276" w:lineRule="auto"/>
              <w:jc w:val="center"/>
              <w:rPr>
                <w:rFonts w:ascii="Titillium" w:eastAsia="Titillium" w:hAnsi="Titillium" w:cs="Titillium"/>
                <w:sz w:val="21"/>
                <w:szCs w:val="21"/>
              </w:rPr>
            </w:pPr>
          </w:p>
        </w:tc>
        <w:tc>
          <w:tcPr>
            <w:tcW w:w="2373" w:type="dxa"/>
            <w:tcBorders>
              <w:top w:val="single" w:sz="4" w:space="0" w:color="000000"/>
              <w:left w:val="single" w:sz="4" w:space="0" w:color="000000"/>
              <w:bottom w:val="single" w:sz="4" w:space="0" w:color="000000"/>
              <w:right w:val="single" w:sz="4" w:space="0" w:color="000000"/>
            </w:tcBorders>
          </w:tcPr>
          <w:p w14:paraId="71B47743" w14:textId="77777777" w:rsidR="009F65FE" w:rsidRDefault="009F65FE">
            <w:pPr>
              <w:spacing w:line="276" w:lineRule="auto"/>
              <w:jc w:val="center"/>
              <w:rPr>
                <w:rFonts w:ascii="Titillium" w:eastAsia="Titillium" w:hAnsi="Titillium" w:cs="Titillium"/>
                <w:sz w:val="21"/>
                <w:szCs w:val="21"/>
              </w:rPr>
            </w:pPr>
          </w:p>
        </w:tc>
        <w:tc>
          <w:tcPr>
            <w:tcW w:w="2977" w:type="dxa"/>
            <w:tcBorders>
              <w:top w:val="single" w:sz="4" w:space="0" w:color="000000"/>
              <w:left w:val="single" w:sz="4" w:space="0" w:color="000000"/>
              <w:bottom w:val="single" w:sz="4" w:space="0" w:color="000000"/>
              <w:right w:val="single" w:sz="4" w:space="0" w:color="000000"/>
            </w:tcBorders>
          </w:tcPr>
          <w:p w14:paraId="335039EE" w14:textId="77777777" w:rsidR="009F65FE" w:rsidRDefault="009F65FE">
            <w:pPr>
              <w:spacing w:line="276" w:lineRule="auto"/>
              <w:jc w:val="center"/>
              <w:rPr>
                <w:rFonts w:ascii="Titillium" w:eastAsia="Titillium" w:hAnsi="Titillium" w:cs="Titillium"/>
                <w:sz w:val="21"/>
                <w:szCs w:val="21"/>
              </w:rPr>
            </w:pPr>
          </w:p>
        </w:tc>
      </w:tr>
    </w:tbl>
    <w:p w14:paraId="3845A8F5" w14:textId="77777777" w:rsidR="009F65FE" w:rsidRDefault="009F65FE">
      <w:pPr>
        <w:spacing w:line="276" w:lineRule="auto"/>
        <w:rPr>
          <w:rFonts w:ascii="Titillium" w:eastAsia="Titillium" w:hAnsi="Titillium" w:cs="Titillium"/>
          <w:sz w:val="21"/>
          <w:szCs w:val="21"/>
        </w:rPr>
      </w:pPr>
    </w:p>
    <w:p w14:paraId="636F9FE2"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 xml:space="preserve">in caso di </w:t>
      </w:r>
      <w:r>
        <w:rPr>
          <w:rFonts w:ascii="Titillium" w:eastAsia="Titillium" w:hAnsi="Titillium" w:cs="Titillium"/>
          <w:b/>
          <w:sz w:val="21"/>
          <w:szCs w:val="21"/>
        </w:rPr>
        <w:t>socio persona giuridica, gli amministratori</w:t>
      </w:r>
      <w:r>
        <w:rPr>
          <w:rFonts w:ascii="Titillium" w:eastAsia="Titillium" w:hAnsi="Titillium" w:cs="Titillium"/>
          <w:sz w:val="21"/>
          <w:szCs w:val="21"/>
        </w:rPr>
        <w:t xml:space="preserve"> della stessa, ai fini dell’art. 94, comma 4, del Codice, sono:</w:t>
      </w:r>
    </w:p>
    <w:p w14:paraId="4C559BFC" w14:textId="77777777" w:rsidR="009F65FE" w:rsidRDefault="009F65FE">
      <w:pPr>
        <w:spacing w:line="276" w:lineRule="auto"/>
        <w:rPr>
          <w:rFonts w:ascii="Titillium" w:eastAsia="Titillium" w:hAnsi="Titillium" w:cs="Titillium"/>
          <w:sz w:val="21"/>
          <w:szCs w:val="21"/>
        </w:rPr>
      </w:pPr>
    </w:p>
    <w:tbl>
      <w:tblPr>
        <w:tblStyle w:val="aff8"/>
        <w:tblW w:w="9923" w:type="dxa"/>
        <w:tblInd w:w="-120" w:type="dxa"/>
        <w:tblLayout w:type="fixed"/>
        <w:tblLook w:val="0400" w:firstRow="0" w:lastRow="0" w:firstColumn="0" w:lastColumn="0" w:noHBand="0" w:noVBand="1"/>
      </w:tblPr>
      <w:tblGrid>
        <w:gridCol w:w="2179"/>
        <w:gridCol w:w="1438"/>
        <w:gridCol w:w="1992"/>
        <w:gridCol w:w="2003"/>
        <w:gridCol w:w="2311"/>
      </w:tblGrid>
      <w:tr w:rsidR="009F65FE" w14:paraId="0603DDE6" w14:textId="77777777">
        <w:trPr>
          <w:trHeight w:val="576"/>
        </w:trPr>
        <w:tc>
          <w:tcPr>
            <w:tcW w:w="2179" w:type="dxa"/>
            <w:tcBorders>
              <w:top w:val="single" w:sz="4" w:space="0" w:color="000000"/>
              <w:left w:val="single" w:sz="4" w:space="0" w:color="000000"/>
              <w:bottom w:val="single" w:sz="4" w:space="0" w:color="000000"/>
              <w:right w:val="single" w:sz="4" w:space="0" w:color="000000"/>
            </w:tcBorders>
            <w:vAlign w:val="center"/>
          </w:tcPr>
          <w:p w14:paraId="0B4DE832"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Nome e cognome</w:t>
            </w:r>
          </w:p>
        </w:tc>
        <w:tc>
          <w:tcPr>
            <w:tcW w:w="1438" w:type="dxa"/>
            <w:tcBorders>
              <w:top w:val="single" w:sz="4" w:space="0" w:color="000000"/>
              <w:left w:val="single" w:sz="4" w:space="0" w:color="000000"/>
              <w:bottom w:val="single" w:sz="4" w:space="0" w:color="000000"/>
              <w:right w:val="single" w:sz="4" w:space="0" w:color="000000"/>
            </w:tcBorders>
            <w:vAlign w:val="center"/>
          </w:tcPr>
          <w:p w14:paraId="46D16AE1"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Data e luogo di nascita </w:t>
            </w:r>
          </w:p>
        </w:tc>
        <w:tc>
          <w:tcPr>
            <w:tcW w:w="1992" w:type="dxa"/>
            <w:tcBorders>
              <w:top w:val="single" w:sz="4" w:space="0" w:color="000000"/>
              <w:left w:val="single" w:sz="4" w:space="0" w:color="000000"/>
              <w:bottom w:val="nil"/>
              <w:right w:val="single" w:sz="4" w:space="0" w:color="000000"/>
            </w:tcBorders>
            <w:vAlign w:val="center"/>
          </w:tcPr>
          <w:p w14:paraId="6AFE13BA"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Residenza</w:t>
            </w:r>
          </w:p>
        </w:tc>
        <w:tc>
          <w:tcPr>
            <w:tcW w:w="2003" w:type="dxa"/>
            <w:tcBorders>
              <w:top w:val="single" w:sz="4" w:space="0" w:color="000000"/>
              <w:left w:val="single" w:sz="4" w:space="0" w:color="000000"/>
              <w:bottom w:val="nil"/>
              <w:right w:val="single" w:sz="4" w:space="0" w:color="000000"/>
            </w:tcBorders>
            <w:vAlign w:val="center"/>
          </w:tcPr>
          <w:p w14:paraId="3047A62E"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 xml:space="preserve">Codice fiscale </w:t>
            </w:r>
          </w:p>
        </w:tc>
        <w:tc>
          <w:tcPr>
            <w:tcW w:w="2311" w:type="dxa"/>
            <w:tcBorders>
              <w:top w:val="single" w:sz="4" w:space="0" w:color="000000"/>
              <w:left w:val="single" w:sz="4" w:space="0" w:color="000000"/>
              <w:bottom w:val="nil"/>
              <w:right w:val="single" w:sz="4" w:space="0" w:color="000000"/>
            </w:tcBorders>
            <w:vAlign w:val="center"/>
          </w:tcPr>
          <w:p w14:paraId="47BF03DC" w14:textId="77777777" w:rsidR="009F65FE" w:rsidRDefault="003929AB">
            <w:pPr>
              <w:spacing w:line="276" w:lineRule="auto"/>
              <w:jc w:val="center"/>
              <w:rPr>
                <w:rFonts w:ascii="Titillium" w:eastAsia="Titillium" w:hAnsi="Titillium" w:cs="Titillium"/>
                <w:b/>
                <w:sz w:val="21"/>
                <w:szCs w:val="21"/>
              </w:rPr>
            </w:pPr>
            <w:r>
              <w:rPr>
                <w:rFonts w:ascii="Titillium" w:eastAsia="Titillium" w:hAnsi="Titillium" w:cs="Titillium"/>
                <w:b/>
                <w:sz w:val="21"/>
                <w:szCs w:val="21"/>
              </w:rPr>
              <w:t>Poteri conferiti / qualifica</w:t>
            </w:r>
          </w:p>
        </w:tc>
      </w:tr>
      <w:tr w:rsidR="009F65FE" w14:paraId="2901D0C2"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5D648543" w14:textId="77777777" w:rsidR="009F65FE" w:rsidRDefault="009F65FE">
            <w:pPr>
              <w:spacing w:line="276" w:lineRule="auto"/>
              <w:jc w:val="center"/>
              <w:rPr>
                <w:rFonts w:ascii="Titillium" w:eastAsia="Titillium" w:hAnsi="Titillium" w:cs="Titillium"/>
                <w:sz w:val="21"/>
                <w:szCs w:val="21"/>
              </w:rPr>
            </w:pPr>
          </w:p>
          <w:p w14:paraId="74594AD5" w14:textId="77777777" w:rsidR="009F65FE" w:rsidRDefault="009F65FE">
            <w:pPr>
              <w:spacing w:line="276" w:lineRule="auto"/>
              <w:jc w:val="center"/>
              <w:rPr>
                <w:rFonts w:ascii="Titillium" w:eastAsia="Titillium" w:hAnsi="Titillium" w:cs="Titillium"/>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2098B203" w14:textId="77777777" w:rsidR="009F65FE" w:rsidRDefault="009F65FE">
            <w:pPr>
              <w:spacing w:line="276" w:lineRule="auto"/>
              <w:jc w:val="center"/>
              <w:rPr>
                <w:rFonts w:ascii="Titillium" w:eastAsia="Titillium" w:hAnsi="Titillium" w:cs="Titillium"/>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1CF1CE78" w14:textId="77777777" w:rsidR="009F65FE" w:rsidRDefault="009F65FE">
            <w:pPr>
              <w:spacing w:line="276" w:lineRule="auto"/>
              <w:jc w:val="center"/>
              <w:rPr>
                <w:rFonts w:ascii="Titillium" w:eastAsia="Titillium" w:hAnsi="Titillium" w:cs="Titillium"/>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038A9FF9" w14:textId="77777777" w:rsidR="009F65FE" w:rsidRDefault="009F65FE">
            <w:pPr>
              <w:spacing w:line="276" w:lineRule="auto"/>
              <w:jc w:val="center"/>
              <w:rPr>
                <w:rFonts w:ascii="Titillium" w:eastAsia="Titillium" w:hAnsi="Titillium" w:cs="Titillium"/>
                <w:sz w:val="21"/>
                <w:szCs w:val="21"/>
              </w:rPr>
            </w:pPr>
          </w:p>
        </w:tc>
        <w:tc>
          <w:tcPr>
            <w:tcW w:w="2311" w:type="dxa"/>
            <w:tcBorders>
              <w:top w:val="single" w:sz="4" w:space="0" w:color="000000"/>
              <w:left w:val="single" w:sz="4" w:space="0" w:color="000000"/>
              <w:bottom w:val="single" w:sz="4" w:space="0" w:color="000000"/>
              <w:right w:val="single" w:sz="4" w:space="0" w:color="000000"/>
            </w:tcBorders>
            <w:vAlign w:val="center"/>
          </w:tcPr>
          <w:p w14:paraId="7827C6C8" w14:textId="77777777" w:rsidR="009F65FE" w:rsidRDefault="009F65FE">
            <w:pPr>
              <w:spacing w:line="276" w:lineRule="auto"/>
              <w:jc w:val="center"/>
              <w:rPr>
                <w:rFonts w:ascii="Titillium" w:eastAsia="Titillium" w:hAnsi="Titillium" w:cs="Titillium"/>
                <w:sz w:val="21"/>
                <w:szCs w:val="21"/>
              </w:rPr>
            </w:pPr>
          </w:p>
        </w:tc>
      </w:tr>
      <w:tr w:rsidR="009F65FE" w14:paraId="7845BD22" w14:textId="77777777">
        <w:tc>
          <w:tcPr>
            <w:tcW w:w="2179" w:type="dxa"/>
            <w:tcBorders>
              <w:top w:val="single" w:sz="4" w:space="0" w:color="000000"/>
              <w:left w:val="single" w:sz="4" w:space="0" w:color="000000"/>
              <w:bottom w:val="single" w:sz="4" w:space="0" w:color="000000"/>
              <w:right w:val="single" w:sz="4" w:space="0" w:color="000000"/>
            </w:tcBorders>
            <w:vAlign w:val="center"/>
          </w:tcPr>
          <w:p w14:paraId="45B25DBF" w14:textId="77777777" w:rsidR="009F65FE" w:rsidRDefault="009F65FE">
            <w:pPr>
              <w:spacing w:line="276" w:lineRule="auto"/>
              <w:jc w:val="center"/>
              <w:rPr>
                <w:rFonts w:ascii="Titillium" w:eastAsia="Titillium" w:hAnsi="Titillium" w:cs="Titillium"/>
                <w:strike/>
                <w:sz w:val="21"/>
                <w:szCs w:val="21"/>
              </w:rPr>
            </w:pPr>
          </w:p>
          <w:p w14:paraId="66C335DC" w14:textId="77777777" w:rsidR="009F65FE" w:rsidRDefault="009F65FE">
            <w:pPr>
              <w:spacing w:line="276" w:lineRule="auto"/>
              <w:jc w:val="center"/>
              <w:rPr>
                <w:rFonts w:ascii="Titillium" w:eastAsia="Titillium" w:hAnsi="Titillium" w:cs="Titillium"/>
                <w:strike/>
                <w:sz w:val="21"/>
                <w:szCs w:val="21"/>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69F63214" w14:textId="77777777" w:rsidR="009F65FE" w:rsidRDefault="009F65FE">
            <w:pPr>
              <w:spacing w:line="276" w:lineRule="auto"/>
              <w:jc w:val="center"/>
              <w:rPr>
                <w:rFonts w:ascii="Titillium" w:eastAsia="Titillium" w:hAnsi="Titillium" w:cs="Titillium"/>
                <w:strike/>
                <w:sz w:val="21"/>
                <w:szCs w:val="21"/>
              </w:rPr>
            </w:pPr>
          </w:p>
        </w:tc>
        <w:tc>
          <w:tcPr>
            <w:tcW w:w="1992" w:type="dxa"/>
            <w:tcBorders>
              <w:top w:val="single" w:sz="4" w:space="0" w:color="000000"/>
              <w:left w:val="single" w:sz="4" w:space="0" w:color="000000"/>
              <w:bottom w:val="single" w:sz="4" w:space="0" w:color="000000"/>
              <w:right w:val="single" w:sz="4" w:space="0" w:color="000000"/>
            </w:tcBorders>
          </w:tcPr>
          <w:p w14:paraId="24EC1E75" w14:textId="77777777" w:rsidR="009F65FE" w:rsidRDefault="009F65FE">
            <w:pPr>
              <w:spacing w:line="276" w:lineRule="auto"/>
              <w:jc w:val="center"/>
              <w:rPr>
                <w:rFonts w:ascii="Titillium" w:eastAsia="Titillium" w:hAnsi="Titillium" w:cs="Titillium"/>
                <w:strike/>
                <w:sz w:val="21"/>
                <w:szCs w:val="21"/>
              </w:rPr>
            </w:pPr>
          </w:p>
        </w:tc>
        <w:tc>
          <w:tcPr>
            <w:tcW w:w="2003" w:type="dxa"/>
            <w:tcBorders>
              <w:top w:val="single" w:sz="4" w:space="0" w:color="000000"/>
              <w:left w:val="single" w:sz="4" w:space="0" w:color="000000"/>
              <w:bottom w:val="single" w:sz="4" w:space="0" w:color="000000"/>
              <w:right w:val="single" w:sz="4" w:space="0" w:color="000000"/>
            </w:tcBorders>
          </w:tcPr>
          <w:p w14:paraId="11592548" w14:textId="77777777" w:rsidR="009F65FE" w:rsidRDefault="009F65FE">
            <w:pPr>
              <w:spacing w:line="276" w:lineRule="auto"/>
              <w:jc w:val="center"/>
              <w:rPr>
                <w:rFonts w:ascii="Titillium" w:eastAsia="Titillium" w:hAnsi="Titillium" w:cs="Titillium"/>
                <w:strike/>
                <w:sz w:val="21"/>
                <w:szCs w:val="21"/>
              </w:rPr>
            </w:pPr>
          </w:p>
        </w:tc>
        <w:tc>
          <w:tcPr>
            <w:tcW w:w="2311" w:type="dxa"/>
            <w:tcBorders>
              <w:top w:val="single" w:sz="4" w:space="0" w:color="000000"/>
              <w:left w:val="single" w:sz="4" w:space="0" w:color="000000"/>
              <w:bottom w:val="single" w:sz="4" w:space="0" w:color="000000"/>
              <w:right w:val="single" w:sz="4" w:space="0" w:color="000000"/>
            </w:tcBorders>
            <w:vAlign w:val="center"/>
          </w:tcPr>
          <w:p w14:paraId="23F7E62B" w14:textId="77777777" w:rsidR="009F65FE" w:rsidRDefault="009F65FE">
            <w:pPr>
              <w:spacing w:line="276" w:lineRule="auto"/>
              <w:jc w:val="center"/>
              <w:rPr>
                <w:rFonts w:ascii="Titillium" w:eastAsia="Titillium" w:hAnsi="Titillium" w:cs="Titillium"/>
                <w:strike/>
                <w:sz w:val="21"/>
                <w:szCs w:val="21"/>
              </w:rPr>
            </w:pPr>
          </w:p>
        </w:tc>
      </w:tr>
    </w:tbl>
    <w:p w14:paraId="2675C66D" w14:textId="77777777" w:rsidR="009F65FE" w:rsidRDefault="009F65FE">
      <w:pPr>
        <w:spacing w:line="276" w:lineRule="auto"/>
        <w:rPr>
          <w:rFonts w:ascii="Titillium" w:eastAsia="Titillium" w:hAnsi="Titillium" w:cs="Titillium"/>
          <w:sz w:val="21"/>
          <w:szCs w:val="21"/>
        </w:rPr>
      </w:pPr>
    </w:p>
    <w:p w14:paraId="0F4A0DDB" w14:textId="77777777" w:rsidR="009F65FE" w:rsidRDefault="003929AB">
      <w:pPr>
        <w:numPr>
          <w:ilvl w:val="0"/>
          <w:numId w:val="7"/>
        </w:numPr>
        <w:spacing w:line="276" w:lineRule="auto"/>
        <w:ind w:left="0" w:firstLine="0"/>
        <w:jc w:val="both"/>
        <w:rPr>
          <w:rFonts w:ascii="Titillium" w:eastAsia="Titillium" w:hAnsi="Titillium" w:cs="Titillium"/>
          <w:sz w:val="21"/>
          <w:szCs w:val="21"/>
        </w:rPr>
      </w:pPr>
      <w:r>
        <w:rPr>
          <w:rFonts w:ascii="Titillium" w:eastAsia="Titillium" w:hAnsi="Titillium" w:cs="Titillium"/>
          <w:sz w:val="21"/>
          <w:szCs w:val="21"/>
        </w:rPr>
        <w:t>ovvero che la banca dati ufficiale o il pubblico registro da cui i medesimi possono essere ricavati in modo aggiornato alla data di presentazione dell’offerta è il seguente: ____________________________________________________________________;</w:t>
      </w:r>
    </w:p>
    <w:p w14:paraId="27023E43" w14:textId="77777777" w:rsidR="009F65FE" w:rsidRDefault="009F65FE">
      <w:pPr>
        <w:pBdr>
          <w:top w:val="nil"/>
          <w:left w:val="nil"/>
          <w:bottom w:val="nil"/>
          <w:right w:val="nil"/>
          <w:between w:val="nil"/>
        </w:pBdr>
        <w:spacing w:line="276" w:lineRule="auto"/>
        <w:jc w:val="both"/>
        <w:rPr>
          <w:rFonts w:ascii="Titillium" w:eastAsia="Titillium" w:hAnsi="Titillium" w:cs="Titillium"/>
          <w:sz w:val="21"/>
          <w:szCs w:val="21"/>
        </w:rPr>
      </w:pPr>
    </w:p>
    <w:p w14:paraId="1C1B508E" w14:textId="77777777" w:rsidR="009F65FE" w:rsidRDefault="009F65FE">
      <w:pPr>
        <w:pBdr>
          <w:top w:val="nil"/>
          <w:left w:val="nil"/>
          <w:bottom w:val="nil"/>
          <w:right w:val="nil"/>
          <w:between w:val="nil"/>
        </w:pBdr>
        <w:spacing w:line="276" w:lineRule="auto"/>
        <w:jc w:val="both"/>
        <w:rPr>
          <w:rFonts w:ascii="Titillium" w:eastAsia="Titillium" w:hAnsi="Titillium" w:cs="Titillium"/>
          <w:sz w:val="21"/>
          <w:szCs w:val="21"/>
        </w:rPr>
      </w:pPr>
    </w:p>
    <w:p w14:paraId="5EEE249C"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b/>
          <w:color w:val="000000"/>
          <w:sz w:val="21"/>
          <w:szCs w:val="21"/>
        </w:rPr>
      </w:pPr>
      <w:r>
        <w:rPr>
          <w:rFonts w:ascii="Titillium" w:eastAsia="Titillium" w:hAnsi="Titillium" w:cs="Titillium"/>
          <w:b/>
          <w:color w:val="000000"/>
          <w:sz w:val="21"/>
          <w:szCs w:val="21"/>
        </w:rPr>
        <w:t>[EVENTUALE in caso di applicazione di misure di self-cleaning</w:t>
      </w:r>
      <w:r>
        <w:rPr>
          <w:rFonts w:ascii="Titillium" w:eastAsia="Titillium" w:hAnsi="Titillium" w:cs="Titillium"/>
          <w:b/>
          <w:i/>
          <w:color w:val="000000"/>
          <w:sz w:val="21"/>
          <w:szCs w:val="21"/>
          <w:vertAlign w:val="superscript"/>
        </w:rPr>
        <w:footnoteReference w:id="3"/>
      </w:r>
      <w:r>
        <w:rPr>
          <w:rFonts w:ascii="Titillium" w:eastAsia="Titillium" w:hAnsi="Titillium" w:cs="Titillium"/>
          <w:b/>
          <w:color w:val="000000"/>
          <w:sz w:val="21"/>
          <w:szCs w:val="21"/>
        </w:rPr>
        <w:t>]</w:t>
      </w:r>
    </w:p>
    <w:p w14:paraId="70FF6A62"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aver</w:t>
      </w:r>
      <w:r>
        <w:rPr>
          <w:rFonts w:ascii="Titillium" w:eastAsia="Titillium" w:hAnsi="Titillium" w:cs="Titillium"/>
          <w:color w:val="000000"/>
          <w:sz w:val="21"/>
          <w:szCs w:val="21"/>
        </w:rPr>
        <w:t xml:space="preserve"> </w:t>
      </w:r>
      <w:r>
        <w:rPr>
          <w:rFonts w:ascii="Titillium" w:eastAsia="Titillium" w:hAnsi="Titillium" w:cs="Titillium"/>
          <w:b/>
          <w:color w:val="000000"/>
          <w:sz w:val="21"/>
          <w:szCs w:val="21"/>
        </w:rPr>
        <w:t>adottato</w:t>
      </w:r>
      <w:r>
        <w:rPr>
          <w:rFonts w:ascii="Titillium" w:eastAsia="Titillium" w:hAnsi="Titillium" w:cs="Titillium"/>
          <w:color w:val="000000"/>
          <w:sz w:val="21"/>
          <w:szCs w:val="21"/>
        </w:rPr>
        <w:t xml:space="preserve"> le seguenti misure di </w:t>
      </w:r>
      <w:r>
        <w:rPr>
          <w:rFonts w:ascii="Titillium" w:eastAsia="Titillium" w:hAnsi="Titillium" w:cs="Titillium"/>
          <w:i/>
          <w:color w:val="000000"/>
          <w:sz w:val="21"/>
          <w:szCs w:val="21"/>
        </w:rPr>
        <w:t>self-cleaning</w:t>
      </w:r>
      <w:r>
        <w:rPr>
          <w:rFonts w:ascii="Titillium" w:eastAsia="Titillium" w:hAnsi="Titillium" w:cs="Titillium"/>
          <w:color w:val="000000"/>
          <w:sz w:val="21"/>
          <w:szCs w:val="21"/>
        </w:rPr>
        <w:t xml:space="preserve">, ai sensi dell’art. 96, commi da 2 a 6, del Codice __________________________________________________________________________, di inserire la relazione illustrativa delle misure di </w:t>
      </w:r>
      <w:r>
        <w:rPr>
          <w:rFonts w:ascii="Titillium" w:eastAsia="Titillium" w:hAnsi="Titillium" w:cs="Titillium"/>
          <w:i/>
          <w:color w:val="000000"/>
          <w:sz w:val="21"/>
          <w:szCs w:val="21"/>
        </w:rPr>
        <w:t>self cleaning</w:t>
      </w:r>
      <w:r>
        <w:rPr>
          <w:rFonts w:ascii="Titillium" w:eastAsia="Titillium" w:hAnsi="Titillium" w:cs="Titillium"/>
          <w:color w:val="000000"/>
          <w:sz w:val="21"/>
          <w:szCs w:val="21"/>
        </w:rPr>
        <w:t xml:space="preserve"> adottate all’interno del Fascicolo Virtuale dell’Operatore Economico (FVOE) e di indicare nel DGUE il riferimento al documento inserito nell’FVOE.</w:t>
      </w:r>
    </w:p>
    <w:p w14:paraId="11A11928" w14:textId="77777777" w:rsidR="009F65FE" w:rsidRDefault="003929AB">
      <w:pPr>
        <w:pBdr>
          <w:top w:val="nil"/>
          <w:left w:val="nil"/>
          <w:bottom w:val="nil"/>
          <w:right w:val="nil"/>
          <w:between w:val="nil"/>
        </w:pBdr>
        <w:spacing w:line="276" w:lineRule="auto"/>
        <w:jc w:val="both"/>
        <w:rPr>
          <w:rFonts w:ascii="Titillium" w:eastAsia="Titillium" w:hAnsi="Titillium" w:cs="Titillium"/>
          <w:b/>
          <w:i/>
          <w:color w:val="000000"/>
          <w:sz w:val="21"/>
          <w:szCs w:val="21"/>
        </w:rPr>
      </w:pPr>
      <w:r>
        <w:rPr>
          <w:rFonts w:ascii="Titillium" w:eastAsia="Titillium" w:hAnsi="Titillium" w:cs="Titillium"/>
          <w:b/>
          <w:i/>
          <w:color w:val="000000"/>
          <w:sz w:val="21"/>
          <w:szCs w:val="21"/>
        </w:rPr>
        <w:t>oppure</w:t>
      </w:r>
    </w:p>
    <w:p w14:paraId="6C4EC834"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essere stato impossibilitato ad adottare </w:t>
      </w:r>
      <w:r>
        <w:rPr>
          <w:rFonts w:ascii="Titillium" w:eastAsia="Titillium" w:hAnsi="Titillium" w:cs="Titillium"/>
          <w:color w:val="000000"/>
          <w:sz w:val="21"/>
          <w:szCs w:val="21"/>
        </w:rPr>
        <w:t xml:space="preserve">misure di </w:t>
      </w:r>
      <w:r>
        <w:rPr>
          <w:rFonts w:ascii="Titillium" w:eastAsia="Titillium" w:hAnsi="Titillium" w:cs="Titillium"/>
          <w:i/>
          <w:color w:val="000000"/>
          <w:sz w:val="21"/>
          <w:szCs w:val="21"/>
        </w:rPr>
        <w:t>self cleaning</w:t>
      </w:r>
      <w:r>
        <w:rPr>
          <w:rFonts w:ascii="Titillium" w:eastAsia="Titillium" w:hAnsi="Titillium" w:cs="Titillium"/>
          <w:color w:val="000000"/>
          <w:sz w:val="21"/>
          <w:szCs w:val="21"/>
        </w:rPr>
        <w:t xml:space="preserve"> per i seguenti motivi _______________________ e di impegnarsi ad adottare misure idonee e a comunicare tempestivamente le</w:t>
      </w:r>
    </w:p>
    <w:p w14:paraId="25636755"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stesse alla Stazione appaltante e comunque prima dell’aggiudicazione</w:t>
      </w:r>
    </w:p>
    <w:p w14:paraId="717FE5D8"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52A171A0" w14:textId="77777777" w:rsidR="009F65FE" w:rsidRDefault="003929AB">
      <w:pPr>
        <w:numPr>
          <w:ilvl w:val="0"/>
          <w:numId w:val="4"/>
        </w:numPr>
        <w:tabs>
          <w:tab w:val="left" w:pos="-142"/>
          <w:tab w:val="left" w:pos="142"/>
        </w:tabs>
        <w:spacing w:line="276" w:lineRule="auto"/>
        <w:ind w:left="0"/>
        <w:jc w:val="both"/>
        <w:rPr>
          <w:rFonts w:ascii="Titillium" w:eastAsia="Titillium" w:hAnsi="Titillium" w:cs="Titillium"/>
          <w:sz w:val="21"/>
          <w:szCs w:val="21"/>
        </w:rPr>
      </w:pPr>
      <w:r>
        <w:rPr>
          <w:rFonts w:ascii="Titillium" w:eastAsia="Titillium" w:hAnsi="Titillium" w:cs="Titillium"/>
          <w:sz w:val="21"/>
          <w:szCs w:val="21"/>
        </w:rPr>
        <w:t>con riferimento alla domanda di partecipazione:</w:t>
      </w:r>
    </w:p>
    <w:p w14:paraId="1690DF2B" w14:textId="77777777" w:rsidR="009F65FE" w:rsidRDefault="003929AB">
      <w:pPr>
        <w:numPr>
          <w:ilvl w:val="0"/>
          <w:numId w:val="3"/>
        </w:numPr>
        <w:tabs>
          <w:tab w:val="left" w:pos="-142"/>
          <w:tab w:val="left" w:pos="142"/>
        </w:tabs>
        <w:spacing w:line="276" w:lineRule="auto"/>
        <w:jc w:val="both"/>
        <w:rPr>
          <w:rFonts w:ascii="Titillium" w:eastAsia="Titillium" w:hAnsi="Titillium" w:cs="Titillium"/>
          <w:sz w:val="21"/>
          <w:szCs w:val="21"/>
        </w:rPr>
      </w:pPr>
      <w:r>
        <w:rPr>
          <w:rFonts w:ascii="Titillium" w:eastAsia="Titillium" w:hAnsi="Titillium" w:cs="Titillium"/>
          <w:b/>
          <w:sz w:val="21"/>
          <w:szCs w:val="21"/>
        </w:rPr>
        <w:t>di non partecipare</w:t>
      </w:r>
      <w:r>
        <w:rPr>
          <w:rFonts w:ascii="Titillium" w:eastAsia="Titillium" w:hAnsi="Titillium" w:cs="Titillium"/>
          <w:sz w:val="21"/>
          <w:szCs w:val="21"/>
        </w:rPr>
        <w:t xml:space="preserve"> in forma singola/associata e come ausiliaria di altro concorrente che sia ricorso all’avvalimento per migliorare la propria offerta;</w:t>
      </w:r>
    </w:p>
    <w:p w14:paraId="4ECE3881" w14:textId="77777777" w:rsidR="009F65FE" w:rsidRDefault="003929AB">
      <w:pPr>
        <w:numPr>
          <w:ilvl w:val="0"/>
          <w:numId w:val="3"/>
        </w:numPr>
        <w:tabs>
          <w:tab w:val="left" w:pos="-142"/>
          <w:tab w:val="left" w:pos="142"/>
        </w:tabs>
        <w:spacing w:line="276" w:lineRule="auto"/>
        <w:jc w:val="both"/>
        <w:rPr>
          <w:rFonts w:ascii="Titillium" w:eastAsia="Titillium" w:hAnsi="Titillium" w:cs="Titillium"/>
          <w:sz w:val="21"/>
          <w:szCs w:val="21"/>
        </w:rPr>
      </w:pPr>
      <w:r>
        <w:rPr>
          <w:rFonts w:ascii="Titillium" w:eastAsia="Titillium" w:hAnsi="Titillium" w:cs="Titillium"/>
          <w:b/>
          <w:sz w:val="21"/>
          <w:szCs w:val="21"/>
        </w:rPr>
        <w:t>di non partecipare</w:t>
      </w:r>
      <w:r>
        <w:rPr>
          <w:rFonts w:ascii="Titillium" w:eastAsia="Titillium" w:hAnsi="Titillium" w:cs="Titillium"/>
          <w:sz w:val="21"/>
          <w:szCs w:val="21"/>
        </w:rPr>
        <w:t xml:space="preserve"> a più di un Consorzio Stabile;</w:t>
      </w:r>
    </w:p>
    <w:p w14:paraId="585A9C6E" w14:textId="77777777" w:rsidR="009F65FE" w:rsidRDefault="003929AB">
      <w:pPr>
        <w:numPr>
          <w:ilvl w:val="0"/>
          <w:numId w:val="3"/>
        </w:numPr>
        <w:tabs>
          <w:tab w:val="left" w:pos="-142"/>
          <w:tab w:val="left" w:pos="142"/>
        </w:tabs>
        <w:spacing w:line="276" w:lineRule="auto"/>
        <w:jc w:val="both"/>
        <w:rPr>
          <w:rFonts w:ascii="Titillium" w:eastAsia="Titillium" w:hAnsi="Titillium" w:cs="Titillium"/>
          <w:sz w:val="21"/>
          <w:szCs w:val="21"/>
        </w:rPr>
      </w:pPr>
      <w:r>
        <w:rPr>
          <w:rFonts w:ascii="Titillium" w:eastAsia="Titillium" w:hAnsi="Titillium" w:cs="Titillium"/>
          <w:b/>
          <w:sz w:val="21"/>
          <w:szCs w:val="21"/>
        </w:rPr>
        <w:t>di partecipare</w:t>
      </w:r>
      <w:r>
        <w:rPr>
          <w:rFonts w:ascii="Titillium" w:eastAsia="Titillium" w:hAnsi="Titillium" w:cs="Titillium"/>
          <w:sz w:val="21"/>
          <w:szCs w:val="21"/>
        </w:rPr>
        <w:t xml:space="preserve"> alla medesima gara contemporaneamente in forme diverse (individuale e associata, in più forme associate, in forma singola e quale consorziato esecutore di un consorzio)</w:t>
      </w:r>
    </w:p>
    <w:p w14:paraId="2730138F" w14:textId="77777777" w:rsidR="009F65FE" w:rsidRDefault="003929AB">
      <w:pPr>
        <w:pBdr>
          <w:top w:val="nil"/>
          <w:left w:val="nil"/>
          <w:bottom w:val="nil"/>
          <w:right w:val="nil"/>
          <w:between w:val="nil"/>
        </w:pBdr>
        <w:tabs>
          <w:tab w:val="left" w:pos="142"/>
          <w:tab w:val="left" w:pos="284"/>
        </w:tabs>
        <w:spacing w:line="276" w:lineRule="auto"/>
        <w:jc w:val="both"/>
        <w:rPr>
          <w:rFonts w:ascii="Titillium" w:eastAsia="Titillium" w:hAnsi="Titillium" w:cs="Titillium"/>
          <w:b/>
          <w:color w:val="000000"/>
          <w:sz w:val="21"/>
          <w:szCs w:val="21"/>
          <w:u w:val="single"/>
        </w:rPr>
      </w:pPr>
      <w:r>
        <w:rPr>
          <w:rFonts w:ascii="Titillium" w:eastAsia="Titillium" w:hAnsi="Titillium" w:cs="Titillium"/>
          <w:sz w:val="21"/>
          <w:szCs w:val="21"/>
        </w:rPr>
        <w:t xml:space="preserve">       </w:t>
      </w:r>
      <w:r>
        <w:rPr>
          <w:rFonts w:ascii="Titillium" w:eastAsia="Titillium" w:hAnsi="Titillium" w:cs="Titillium"/>
          <w:b/>
          <w:color w:val="000000"/>
          <w:sz w:val="21"/>
          <w:szCs w:val="21"/>
          <w:u w:val="single"/>
        </w:rPr>
        <w:t>compilare una delle due opzioni</w:t>
      </w:r>
    </w:p>
    <w:p w14:paraId="7A6B287E" w14:textId="77777777" w:rsidR="009F65FE" w:rsidRDefault="003929AB">
      <w:pPr>
        <w:pBdr>
          <w:top w:val="nil"/>
          <w:left w:val="nil"/>
          <w:bottom w:val="nil"/>
          <w:right w:val="nil"/>
          <w:between w:val="nil"/>
        </w:pBdr>
        <w:tabs>
          <w:tab w:val="left" w:pos="142"/>
          <w:tab w:val="left" w:pos="284"/>
        </w:tabs>
        <w:spacing w:line="276" w:lineRule="auto"/>
        <w:jc w:val="both"/>
        <w:rPr>
          <w:rFonts w:ascii="Titillium" w:eastAsia="Titillium" w:hAnsi="Titillium" w:cs="Titillium"/>
          <w:sz w:val="21"/>
          <w:szCs w:val="21"/>
        </w:rPr>
      </w:pPr>
      <w:r>
        <w:rPr>
          <w:rFonts w:ascii="Titillium" w:eastAsia="Titillium" w:hAnsi="Titillium" w:cs="Titillium"/>
          <w:sz w:val="21"/>
          <w:szCs w:val="21"/>
        </w:rPr>
        <w:tab/>
      </w:r>
      <w:r>
        <w:rPr>
          <w:rFonts w:ascii="Titillium" w:eastAsia="Titillium" w:hAnsi="Titillium" w:cs="Titillium"/>
          <w:sz w:val="21"/>
          <w:szCs w:val="21"/>
        </w:rPr>
        <w:tab/>
        <w:t xml:space="preserve"> </w:t>
      </w:r>
      <w:sdt>
        <w:sdtPr>
          <w:tag w:val="goog_rdk_0"/>
          <w:id w:val="804982982"/>
        </w:sdtPr>
        <w:sdtEndPr/>
        <w:sdtContent>
          <w:r>
            <w:rPr>
              <w:rFonts w:ascii="Arial Unicode MS" w:eastAsia="Arial Unicode MS" w:hAnsi="Arial Unicode MS" w:cs="Arial Unicode MS"/>
              <w:sz w:val="21"/>
              <w:szCs w:val="21"/>
            </w:rPr>
            <w:t>☐</w:t>
          </w:r>
        </w:sdtContent>
      </w:sdt>
      <w:r>
        <w:rPr>
          <w:rFonts w:ascii="Titillium" w:eastAsia="Titillium" w:hAnsi="Titillium" w:cs="Titillium"/>
          <w:sz w:val="21"/>
          <w:szCs w:val="21"/>
        </w:rPr>
        <w:t xml:space="preserve"> SI (</w:t>
      </w:r>
      <w:r>
        <w:rPr>
          <w:rFonts w:ascii="Titillium" w:eastAsia="Titillium" w:hAnsi="Titillium" w:cs="Titillium"/>
          <w:i/>
          <w:sz w:val="21"/>
          <w:szCs w:val="21"/>
        </w:rPr>
        <w:t xml:space="preserve">in tal caso specificare le forme della partecipazione e inserire nel FVOE idonea documentazione </w:t>
      </w:r>
      <w:r>
        <w:rPr>
          <w:rFonts w:ascii="Titillium" w:eastAsia="Titillium" w:hAnsi="Titillium" w:cs="Titillium"/>
          <w:i/>
          <w:sz w:val="21"/>
          <w:szCs w:val="21"/>
        </w:rPr>
        <w:tab/>
      </w:r>
      <w:r>
        <w:rPr>
          <w:rFonts w:ascii="Titillium" w:eastAsia="Titillium" w:hAnsi="Titillium" w:cs="Titillium"/>
          <w:i/>
          <w:sz w:val="21"/>
          <w:szCs w:val="21"/>
        </w:rPr>
        <w:tab/>
        <w:t xml:space="preserve"> con la quale dimostrare che la circostanza non abbia influito sulla gara, né sia idonea a incidere sulla </w:t>
      </w:r>
      <w:r>
        <w:rPr>
          <w:rFonts w:ascii="Titillium" w:eastAsia="Titillium" w:hAnsi="Titillium" w:cs="Titillium"/>
          <w:i/>
          <w:sz w:val="21"/>
          <w:szCs w:val="21"/>
        </w:rPr>
        <w:tab/>
      </w:r>
      <w:r>
        <w:rPr>
          <w:rFonts w:ascii="Titillium" w:eastAsia="Titillium" w:hAnsi="Titillium" w:cs="Titillium"/>
          <w:i/>
          <w:sz w:val="21"/>
          <w:szCs w:val="21"/>
        </w:rPr>
        <w:tab/>
        <w:t xml:space="preserve"> capacità di rispettare gli obblighi contrattuali</w:t>
      </w:r>
      <w:r>
        <w:rPr>
          <w:rFonts w:ascii="Titillium" w:eastAsia="Titillium" w:hAnsi="Titillium" w:cs="Titillium"/>
          <w:sz w:val="21"/>
          <w:szCs w:val="21"/>
        </w:rPr>
        <w:t>) _________________________</w:t>
      </w:r>
    </w:p>
    <w:p w14:paraId="7BFD57EA" w14:textId="77777777" w:rsidR="009F65FE" w:rsidRDefault="003929AB">
      <w:pPr>
        <w:pBdr>
          <w:top w:val="nil"/>
          <w:left w:val="nil"/>
          <w:bottom w:val="nil"/>
          <w:right w:val="nil"/>
          <w:between w:val="nil"/>
        </w:pBdr>
        <w:tabs>
          <w:tab w:val="left" w:pos="142"/>
          <w:tab w:val="left" w:pos="284"/>
        </w:tabs>
        <w:spacing w:line="276" w:lineRule="auto"/>
        <w:jc w:val="both"/>
        <w:rPr>
          <w:rFonts w:ascii="Titillium" w:eastAsia="Titillium" w:hAnsi="Titillium" w:cs="Titillium"/>
          <w:sz w:val="21"/>
          <w:szCs w:val="21"/>
        </w:rPr>
      </w:pPr>
      <w:r>
        <w:rPr>
          <w:rFonts w:ascii="Titillium" w:eastAsia="Titillium" w:hAnsi="Titillium" w:cs="Titillium"/>
          <w:sz w:val="21"/>
          <w:szCs w:val="21"/>
        </w:rPr>
        <w:tab/>
      </w:r>
      <w:r>
        <w:rPr>
          <w:rFonts w:ascii="Titillium" w:eastAsia="Titillium" w:hAnsi="Titillium" w:cs="Titillium"/>
          <w:sz w:val="21"/>
          <w:szCs w:val="21"/>
        </w:rPr>
        <w:tab/>
        <w:t xml:space="preserve"> </w:t>
      </w:r>
      <w:sdt>
        <w:sdtPr>
          <w:tag w:val="goog_rdk_1"/>
          <w:id w:val="-1190685494"/>
        </w:sdtPr>
        <w:sdtEndPr/>
        <w:sdtContent>
          <w:r>
            <w:rPr>
              <w:rFonts w:ascii="Arial Unicode MS" w:eastAsia="Arial Unicode MS" w:hAnsi="Arial Unicode MS" w:cs="Arial Unicode MS"/>
              <w:sz w:val="21"/>
              <w:szCs w:val="21"/>
            </w:rPr>
            <w:t>☐</w:t>
          </w:r>
        </w:sdtContent>
      </w:sdt>
      <w:r>
        <w:rPr>
          <w:rFonts w:ascii="Titillium" w:eastAsia="Titillium" w:hAnsi="Titillium" w:cs="Titillium"/>
          <w:sz w:val="21"/>
          <w:szCs w:val="21"/>
        </w:rPr>
        <w:t xml:space="preserve"> NO</w:t>
      </w:r>
    </w:p>
    <w:p w14:paraId="4122ACCF" w14:textId="77777777" w:rsidR="009F65FE" w:rsidRDefault="009F65FE">
      <w:pPr>
        <w:pBdr>
          <w:top w:val="nil"/>
          <w:left w:val="nil"/>
          <w:bottom w:val="nil"/>
          <w:right w:val="nil"/>
          <w:between w:val="nil"/>
        </w:pBdr>
        <w:tabs>
          <w:tab w:val="left" w:pos="142"/>
          <w:tab w:val="left" w:pos="284"/>
        </w:tabs>
        <w:spacing w:line="276" w:lineRule="auto"/>
        <w:ind w:left="1440"/>
        <w:jc w:val="both"/>
        <w:rPr>
          <w:rFonts w:ascii="Titillium" w:eastAsia="Titillium" w:hAnsi="Titillium" w:cs="Titillium"/>
          <w:sz w:val="21"/>
          <w:szCs w:val="21"/>
        </w:rPr>
      </w:pPr>
    </w:p>
    <w:p w14:paraId="6A4C6454"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remunerativa</w:t>
      </w:r>
      <w:r>
        <w:rPr>
          <w:rFonts w:ascii="Titillium" w:eastAsia="Titillium" w:hAnsi="Titillium" w:cs="Titillium"/>
          <w:color w:val="000000"/>
          <w:sz w:val="21"/>
          <w:szCs w:val="21"/>
        </w:rPr>
        <w:t xml:space="preserve"> </w:t>
      </w:r>
      <w:r>
        <w:rPr>
          <w:rFonts w:ascii="Titillium" w:eastAsia="Titillium" w:hAnsi="Titillium" w:cs="Titillium"/>
          <w:b/>
          <w:color w:val="000000"/>
          <w:sz w:val="21"/>
          <w:szCs w:val="21"/>
        </w:rPr>
        <w:t>l’offerta economica presentata</w:t>
      </w:r>
      <w:r>
        <w:rPr>
          <w:rFonts w:ascii="Titillium" w:eastAsia="Titillium" w:hAnsi="Titillium" w:cs="Titillium"/>
          <w:color w:val="000000"/>
          <w:sz w:val="21"/>
          <w:szCs w:val="21"/>
        </w:rPr>
        <w:t xml:space="preserve"> giacché per la sua formulazione ha preso atto e tenuto conto:</w:t>
      </w:r>
    </w:p>
    <w:p w14:paraId="0FB1D046" w14:textId="77777777" w:rsidR="009F65FE" w:rsidRDefault="003929AB">
      <w:pPr>
        <w:numPr>
          <w:ilvl w:val="0"/>
          <w:numId w:val="5"/>
        </w:numPr>
        <w:pBdr>
          <w:top w:val="nil"/>
          <w:left w:val="nil"/>
          <w:bottom w:val="nil"/>
          <w:right w:val="nil"/>
          <w:between w:val="nil"/>
        </w:pBdr>
        <w:spacing w:line="276" w:lineRule="auto"/>
        <w:ind w:left="284"/>
        <w:jc w:val="both"/>
        <w:rPr>
          <w:rFonts w:ascii="Titillium" w:eastAsia="Titillium" w:hAnsi="Titillium" w:cs="Titillium"/>
          <w:color w:val="000000"/>
          <w:sz w:val="21"/>
          <w:szCs w:val="21"/>
        </w:rPr>
      </w:pPr>
      <w:r>
        <w:rPr>
          <w:rFonts w:ascii="Titillium" w:eastAsia="Titillium" w:hAnsi="Titillium" w:cs="Titillium"/>
          <w:color w:val="000000"/>
          <w:sz w:val="21"/>
          <w:szCs w:val="21"/>
        </w:rPr>
        <w:t>delle condizioni contrattuali e degli oneri compresi quelli eventuali relativi al CCNL di categoria, in materia di sicurezza, di assicurazione, di condizioni di lavoro e di previdenza e assistenza in vigore nei luoghi dove devono essere svolte le forniture;</w:t>
      </w:r>
    </w:p>
    <w:p w14:paraId="338FB42B" w14:textId="77777777" w:rsidR="009F65FE" w:rsidRDefault="003929AB">
      <w:pPr>
        <w:numPr>
          <w:ilvl w:val="0"/>
          <w:numId w:val="5"/>
        </w:numPr>
        <w:pBdr>
          <w:top w:val="nil"/>
          <w:left w:val="nil"/>
          <w:bottom w:val="nil"/>
          <w:right w:val="nil"/>
          <w:between w:val="nil"/>
        </w:pBdr>
        <w:spacing w:line="276" w:lineRule="auto"/>
        <w:ind w:left="284"/>
        <w:jc w:val="both"/>
        <w:rPr>
          <w:rFonts w:ascii="Titillium" w:eastAsia="Titillium" w:hAnsi="Titillium" w:cs="Titillium"/>
          <w:color w:val="000000"/>
          <w:sz w:val="21"/>
          <w:szCs w:val="21"/>
        </w:rPr>
      </w:pPr>
      <w:r>
        <w:rPr>
          <w:rFonts w:ascii="Titillium" w:eastAsia="Titillium" w:hAnsi="Titillium" w:cs="Titillium"/>
          <w:color w:val="000000"/>
          <w:sz w:val="21"/>
          <w:szCs w:val="21"/>
        </w:rPr>
        <w:t>di tutte le circostanze generali, particolari e locali, nessuna esclusa ed eccettuata, che possono avere influito o influire sia sulla prestazione della fornitura, sia sulla determinazione della propria offerta;</w:t>
      </w:r>
    </w:p>
    <w:p w14:paraId="2AFFABF1"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2D73F99E"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applicare</w:t>
      </w:r>
      <w:r>
        <w:rPr>
          <w:rFonts w:ascii="Titillium" w:eastAsia="Titillium" w:hAnsi="Titillium" w:cs="Titillium"/>
          <w:color w:val="000000"/>
          <w:sz w:val="21"/>
          <w:szCs w:val="21"/>
        </w:rPr>
        <w:t xml:space="preserve"> ai dipendenti impiegati per l’affidamento in parola il seguente C.C.N.L. ______________________________, avente codice alfanumerico numerico unico ______________</w:t>
      </w:r>
    </w:p>
    <w:p w14:paraId="553BFDA9"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797F1F5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applicare</w:t>
      </w:r>
      <w:r>
        <w:rPr>
          <w:rFonts w:ascii="Titillium" w:eastAsia="Titillium" w:hAnsi="Titillium" w:cs="Titillium"/>
          <w:color w:val="000000"/>
          <w:sz w:val="21"/>
          <w:szCs w:val="21"/>
        </w:rPr>
        <w:t xml:space="preserve"> le disposizioni in materia di sicurezza sul lavoro e antinfortunistica di cui al D. Lgs. n. 81/2008; </w:t>
      </w:r>
    </w:p>
    <w:p w14:paraId="1CE37DB2" w14:textId="77777777" w:rsidR="009F65FE" w:rsidRDefault="009F65FE">
      <w:pPr>
        <w:rPr>
          <w:rFonts w:ascii="Titillium" w:eastAsia="Titillium" w:hAnsi="Titillium" w:cs="Titillium"/>
          <w:color w:val="000000"/>
          <w:sz w:val="21"/>
          <w:szCs w:val="21"/>
        </w:rPr>
      </w:pPr>
    </w:p>
    <w:p w14:paraId="5E59C4A5"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lastRenderedPageBreak/>
        <w:t xml:space="preserve">di impegnarsi </w:t>
      </w:r>
      <w:r>
        <w:rPr>
          <w:rFonts w:ascii="Titillium" w:eastAsia="Titillium" w:hAnsi="Titillium" w:cs="Titillium"/>
          <w:color w:val="000000"/>
          <w:sz w:val="21"/>
          <w:szCs w:val="21"/>
        </w:rPr>
        <w:t>a non attuare nella presente gara intese e/o pratiche restrittive della concorrenza e del mercato vietate ai sensi della normativa applicabile;</w:t>
      </w:r>
    </w:p>
    <w:p w14:paraId="34D9C383" w14:textId="77777777" w:rsidR="009F65FE" w:rsidRDefault="009F65FE">
      <w:pPr>
        <w:pBdr>
          <w:top w:val="nil"/>
          <w:left w:val="nil"/>
          <w:bottom w:val="nil"/>
          <w:right w:val="nil"/>
          <w:between w:val="nil"/>
        </w:pBdr>
        <w:ind w:left="720"/>
        <w:rPr>
          <w:rFonts w:ascii="Titillium" w:eastAsia="Titillium" w:hAnsi="Titillium" w:cs="Titillium"/>
          <w:b/>
          <w:color w:val="000000"/>
          <w:sz w:val="21"/>
          <w:szCs w:val="21"/>
        </w:rPr>
      </w:pPr>
    </w:p>
    <w:p w14:paraId="212E3CB4"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con riferimento all’art. 53, comma 16-ter, del D. Lgs. 165/2001</w:t>
      </w:r>
      <w:r>
        <w:rPr>
          <w:rFonts w:ascii="Titillium" w:eastAsia="Titillium" w:hAnsi="Titillium" w:cs="Titillium"/>
          <w:color w:val="000000"/>
          <w:sz w:val="21"/>
          <w:szCs w:val="21"/>
        </w:rPr>
        <w:t xml:space="preserve"> (Clausola di “</w:t>
      </w:r>
      <w:r>
        <w:rPr>
          <w:rFonts w:ascii="Titillium" w:eastAsia="Titillium" w:hAnsi="Titillium" w:cs="Titillium"/>
          <w:i/>
          <w:color w:val="000000"/>
          <w:sz w:val="21"/>
          <w:szCs w:val="21"/>
        </w:rPr>
        <w:t>pantouflage</w:t>
      </w:r>
      <w:r>
        <w:rPr>
          <w:rFonts w:ascii="Titillium" w:eastAsia="Titillium" w:hAnsi="Titillium" w:cs="Titillium"/>
          <w:color w:val="000000"/>
          <w:sz w:val="21"/>
          <w:szCs w:val="21"/>
        </w:rPr>
        <w:t>”):</w:t>
      </w:r>
    </w:p>
    <w:p w14:paraId="05DB7D24" w14:textId="77777777" w:rsidR="009F65FE" w:rsidRDefault="001D79FD">
      <w:pPr>
        <w:pBdr>
          <w:top w:val="nil"/>
          <w:left w:val="nil"/>
          <w:bottom w:val="nil"/>
          <w:right w:val="nil"/>
          <w:between w:val="nil"/>
        </w:pBdr>
        <w:spacing w:line="276" w:lineRule="auto"/>
        <w:jc w:val="both"/>
        <w:rPr>
          <w:rFonts w:ascii="Titillium" w:eastAsia="Titillium" w:hAnsi="Titillium" w:cs="Titillium"/>
          <w:color w:val="000000"/>
          <w:sz w:val="21"/>
          <w:szCs w:val="21"/>
        </w:rPr>
      </w:pPr>
      <w:sdt>
        <w:sdtPr>
          <w:tag w:val="goog_rdk_2"/>
          <w:id w:val="1970468993"/>
        </w:sdtPr>
        <w:sdtEndPr/>
        <w:sdtContent>
          <w:r w:rsidR="003929AB">
            <w:rPr>
              <w:rFonts w:ascii="Arial Unicode MS" w:eastAsia="Arial Unicode MS" w:hAnsi="Arial Unicode MS" w:cs="Arial Unicode MS"/>
              <w:color w:val="000000"/>
              <w:sz w:val="21"/>
              <w:szCs w:val="21"/>
            </w:rPr>
            <w:t>☐</w:t>
          </w:r>
        </w:sdtContent>
      </w:sdt>
      <w:r w:rsidR="003929AB">
        <w:rPr>
          <w:rFonts w:ascii="Titillium" w:eastAsia="Titillium" w:hAnsi="Titillium" w:cs="Titillium"/>
          <w:color w:val="000000"/>
          <w:sz w:val="21"/>
          <w:szCs w:val="21"/>
        </w:rPr>
        <w:t xml:space="preserve"> di non aver conferito incarichi professionali né concluso alcun contratto di lavoro subordinato o autonomo ad ex-dipendenti che hanno cessato il rapporto di lavoro con INAF da meno di tre anni i quali, negli ultimi tre anni di servizio, hanno esercitato poteri autoritativi o negoziali per conto dell’INAF medesimo;</w:t>
      </w:r>
    </w:p>
    <w:p w14:paraId="505C86F3" w14:textId="77777777" w:rsidR="009F65FE" w:rsidRDefault="001D79FD">
      <w:pPr>
        <w:pBdr>
          <w:top w:val="nil"/>
          <w:left w:val="nil"/>
          <w:bottom w:val="nil"/>
          <w:right w:val="nil"/>
          <w:between w:val="nil"/>
        </w:pBdr>
        <w:spacing w:line="276" w:lineRule="auto"/>
        <w:jc w:val="both"/>
        <w:rPr>
          <w:rFonts w:ascii="Titillium" w:eastAsia="Titillium" w:hAnsi="Titillium" w:cs="Titillium"/>
          <w:color w:val="000000"/>
          <w:sz w:val="21"/>
          <w:szCs w:val="21"/>
        </w:rPr>
      </w:pPr>
      <w:sdt>
        <w:sdtPr>
          <w:tag w:val="goog_rdk_3"/>
          <w:id w:val="-532961164"/>
        </w:sdtPr>
        <w:sdtEndPr/>
        <w:sdtContent>
          <w:r w:rsidR="003929AB">
            <w:rPr>
              <w:rFonts w:ascii="Arial Unicode MS" w:eastAsia="Arial Unicode MS" w:hAnsi="Arial Unicode MS" w:cs="Arial Unicode MS"/>
              <w:color w:val="000000"/>
              <w:sz w:val="21"/>
              <w:szCs w:val="21"/>
            </w:rPr>
            <w:t>☐</w:t>
          </w:r>
        </w:sdtContent>
      </w:sdt>
      <w:r w:rsidR="003929AB">
        <w:rPr>
          <w:rFonts w:ascii="Titillium" w:eastAsia="Titillium" w:hAnsi="Titillium" w:cs="Titillium"/>
          <w:color w:val="000000"/>
          <w:sz w:val="21"/>
          <w:szCs w:val="21"/>
        </w:rPr>
        <w:t xml:space="preserve"> di avere conferito incarichi professionali e concluso contratti di lavoro subordinato o autonomo ad ex dipendenti dell’INAF che hanno cessato il rapporto di lavoro da meno di tre anni i quali, negli ultimi tre anni di servizio, non hanno esercitato poteri autoritativi o negoziali per conto dell’INAF medesimo;</w:t>
      </w:r>
    </w:p>
    <w:p w14:paraId="08B1ECF3" w14:textId="77777777" w:rsidR="009F65FE" w:rsidRDefault="001D79FD">
      <w:pPr>
        <w:pBdr>
          <w:top w:val="nil"/>
          <w:left w:val="nil"/>
          <w:bottom w:val="nil"/>
          <w:right w:val="nil"/>
          <w:between w:val="nil"/>
        </w:pBdr>
        <w:spacing w:line="276" w:lineRule="auto"/>
        <w:jc w:val="both"/>
        <w:rPr>
          <w:rFonts w:ascii="Titillium" w:eastAsia="Titillium" w:hAnsi="Titillium" w:cs="Titillium"/>
          <w:color w:val="000000"/>
          <w:sz w:val="21"/>
          <w:szCs w:val="21"/>
        </w:rPr>
      </w:pPr>
      <w:sdt>
        <w:sdtPr>
          <w:tag w:val="goog_rdk_4"/>
          <w:id w:val="-1082515434"/>
        </w:sdtPr>
        <w:sdtEndPr/>
        <w:sdtContent>
          <w:r w:rsidR="003929AB">
            <w:rPr>
              <w:rFonts w:ascii="Arial Unicode MS" w:eastAsia="Arial Unicode MS" w:hAnsi="Arial Unicode MS" w:cs="Arial Unicode MS"/>
              <w:color w:val="000000"/>
              <w:sz w:val="21"/>
              <w:szCs w:val="21"/>
            </w:rPr>
            <w:t>☐</w:t>
          </w:r>
        </w:sdtContent>
      </w:sdt>
      <w:r w:rsidR="003929AB">
        <w:rPr>
          <w:rFonts w:ascii="Titillium" w:eastAsia="Titillium" w:hAnsi="Titillium" w:cs="Titillium"/>
          <w:color w:val="000000"/>
          <w:sz w:val="21"/>
          <w:szCs w:val="21"/>
        </w:rPr>
        <w:t xml:space="preserve"> di avere conferito incarichi professionali e concluso contratti di lavoro subordinato o autonomo ad ex dipendenti dell’INAF dopo tre anni da quando gli stessi hanno cessato il rapporto di lavoro con il INAF medesimo e quindi nel rispetto delle previsioni di legge;</w:t>
      </w:r>
    </w:p>
    <w:p w14:paraId="2CDBE37F"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0AB341FA"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bookmarkStart w:id="5" w:name="_heading=h.1fob9te" w:colFirst="0" w:colLast="0"/>
      <w:bookmarkEnd w:id="5"/>
      <w:r>
        <w:rPr>
          <w:rFonts w:ascii="Titillium" w:eastAsia="Titillium" w:hAnsi="Titillium" w:cs="Titillium"/>
          <w:b/>
          <w:color w:val="000000"/>
          <w:sz w:val="21"/>
          <w:szCs w:val="21"/>
        </w:rPr>
        <w:t>di accettare, senza condizione o riserva alcuna, tutte le norme e disposizioni contenute nella documentazione gara e di rendersi disponibile a dare immediato avvio all'esecuzione delle prestazioni, nei casi di urgenza</w:t>
      </w:r>
      <w:r>
        <w:rPr>
          <w:rFonts w:ascii="Titillium" w:eastAsia="Titillium" w:hAnsi="Titillium" w:cs="Titillium"/>
          <w:color w:val="000000"/>
          <w:sz w:val="21"/>
          <w:szCs w:val="21"/>
        </w:rPr>
        <w:t xml:space="preserve"> e comunque ove ritenuto necessario in relazione alla particolare tipologia dell'oggetto delle prestazioni stesse, anche nelle more della stipula del contratto;</w:t>
      </w:r>
    </w:p>
    <w:p w14:paraId="19F6C833" w14:textId="77777777" w:rsidR="009F65FE" w:rsidRDefault="009F65FE">
      <w:pPr>
        <w:pBdr>
          <w:top w:val="nil"/>
          <w:left w:val="nil"/>
          <w:bottom w:val="nil"/>
          <w:right w:val="nil"/>
          <w:between w:val="nil"/>
        </w:pBdr>
        <w:ind w:left="720"/>
        <w:rPr>
          <w:rFonts w:ascii="Titillium" w:eastAsia="Titillium" w:hAnsi="Titillium" w:cs="Titillium"/>
          <w:color w:val="000000"/>
          <w:sz w:val="21"/>
          <w:szCs w:val="21"/>
        </w:rPr>
      </w:pPr>
    </w:p>
    <w:p w14:paraId="2B6AFEBB"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b/>
          <w:color w:val="000000"/>
          <w:sz w:val="21"/>
          <w:szCs w:val="21"/>
        </w:rPr>
      </w:pPr>
      <w:r>
        <w:rPr>
          <w:rFonts w:ascii="Titillium" w:eastAsia="Titillium" w:hAnsi="Titillium" w:cs="Titillium"/>
          <w:b/>
          <w:color w:val="000000"/>
          <w:sz w:val="21"/>
          <w:szCs w:val="21"/>
        </w:rPr>
        <w:t>di accettare</w:t>
      </w:r>
      <w:r>
        <w:rPr>
          <w:rFonts w:ascii="Titillium" w:eastAsia="Titillium" w:hAnsi="Titillium" w:cs="Titillium"/>
          <w:color w:val="000000"/>
          <w:sz w:val="21"/>
          <w:szCs w:val="21"/>
        </w:rPr>
        <w:t xml:space="preserve"> espressamente che la Stazione Appaltante si riserva la facoltà di differire la stipula del contratto, entro i termini previsti dalla vigente normativa, a partire dalla data di aggiudicazione. La Stazione Appaltante si riserva di revocare la procedura ai sensi della legge 241/1990, art. 21-quinquies, per sopravvenuti motivi di pubblico interesse ovvero nel caso di mutamento della situazione di fatto non prevedibile al momento dell’adozione del provvedimento.</w:t>
      </w:r>
    </w:p>
    <w:p w14:paraId="42BB1A3C" w14:textId="77777777" w:rsidR="009F65FE" w:rsidRDefault="009F65FE">
      <w:pPr>
        <w:pBdr>
          <w:top w:val="nil"/>
          <w:left w:val="nil"/>
          <w:bottom w:val="nil"/>
          <w:right w:val="nil"/>
          <w:between w:val="nil"/>
        </w:pBdr>
        <w:ind w:left="720"/>
        <w:rPr>
          <w:rFonts w:ascii="Titillium" w:eastAsia="Titillium" w:hAnsi="Titillium" w:cs="Titillium"/>
          <w:b/>
          <w:color w:val="000000"/>
          <w:sz w:val="21"/>
          <w:szCs w:val="21"/>
        </w:rPr>
      </w:pPr>
    </w:p>
    <w:p w14:paraId="1EEA4285"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accettare</w:t>
      </w:r>
      <w:r>
        <w:rPr>
          <w:rFonts w:ascii="Titillium" w:eastAsia="Titillium" w:hAnsi="Titillium" w:cs="Titillium"/>
          <w:color w:val="000000"/>
          <w:sz w:val="21"/>
          <w:szCs w:val="21"/>
        </w:rPr>
        <w:t xml:space="preserve"> </w:t>
      </w:r>
      <w:r>
        <w:rPr>
          <w:rFonts w:ascii="Titillium" w:eastAsia="Titillium" w:hAnsi="Titillium" w:cs="Titillium"/>
          <w:b/>
          <w:color w:val="000000"/>
          <w:sz w:val="21"/>
          <w:szCs w:val="21"/>
        </w:rPr>
        <w:t>il Patto di integrità</w:t>
      </w:r>
      <w:r>
        <w:rPr>
          <w:rFonts w:ascii="Titillium" w:eastAsia="Titillium" w:hAnsi="Titillium" w:cs="Titillium"/>
          <w:color w:val="000000"/>
          <w:sz w:val="21"/>
          <w:szCs w:val="21"/>
        </w:rPr>
        <w:t xml:space="preserve"> previsto dal Piano Integrato di attività</w:t>
      </w:r>
      <w:r>
        <w:rPr>
          <w:rFonts w:ascii="Titillium" w:eastAsia="Titillium" w:hAnsi="Titillium" w:cs="Titillium"/>
          <w:i/>
          <w:color w:val="000000"/>
          <w:sz w:val="21"/>
          <w:szCs w:val="21"/>
        </w:rPr>
        <w:t xml:space="preserve"> </w:t>
      </w:r>
      <w:r>
        <w:rPr>
          <w:rFonts w:ascii="Titillium" w:eastAsia="Titillium" w:hAnsi="Titillium" w:cs="Titillium"/>
          <w:color w:val="000000"/>
          <w:sz w:val="21"/>
          <w:szCs w:val="21"/>
        </w:rPr>
        <w:t>ed organizzazione 2023-2025 dello “</w:t>
      </w:r>
      <w:r>
        <w:rPr>
          <w:rFonts w:ascii="Titillium" w:eastAsia="Titillium" w:hAnsi="Titillium" w:cs="Titillium"/>
          <w:i/>
          <w:color w:val="000000"/>
          <w:sz w:val="21"/>
          <w:szCs w:val="21"/>
        </w:rPr>
        <w:t>Istituto Nazionale di Astrofisica</w:t>
      </w:r>
      <w:r>
        <w:rPr>
          <w:rFonts w:ascii="Titillium" w:eastAsia="Titillium" w:hAnsi="Titillium" w:cs="Titillium"/>
          <w:color w:val="000000"/>
          <w:sz w:val="21"/>
          <w:szCs w:val="21"/>
        </w:rPr>
        <w:t>” approvato con Delibera del Consiglio di Amministrazione del 31 marzo 2023, numero 19 allegato alla documentazione di gara (art. 1, comma 17, della L. n. 190/2012), obbligandosi ad assumere gli impegni previsti dal medesimo patto;</w:t>
      </w:r>
    </w:p>
    <w:p w14:paraId="1C06B02D"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47A1693E"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essere edotto</w:t>
      </w:r>
      <w:r>
        <w:rPr>
          <w:rFonts w:ascii="Titillium" w:eastAsia="Titillium" w:hAnsi="Titillium" w:cs="Titillium"/>
          <w:color w:val="000000"/>
          <w:sz w:val="21"/>
          <w:szCs w:val="21"/>
        </w:rPr>
        <w:t xml:space="preserve"> degli obblighi derivanti dal </w:t>
      </w:r>
      <w:r>
        <w:rPr>
          <w:rFonts w:ascii="Titillium" w:eastAsia="Titillium" w:hAnsi="Titillium" w:cs="Titillium"/>
          <w:b/>
          <w:color w:val="000000"/>
          <w:sz w:val="21"/>
          <w:szCs w:val="21"/>
        </w:rPr>
        <w:t>Codice di comportamento</w:t>
      </w:r>
      <w:r>
        <w:rPr>
          <w:rFonts w:ascii="Titillium" w:eastAsia="Titillium" w:hAnsi="Titillium" w:cs="Titillium"/>
          <w:color w:val="000000"/>
          <w:sz w:val="21"/>
          <w:szCs w:val="21"/>
        </w:rPr>
        <w:t xml:space="preserve"> adottato dalla Stazione appaltante con Delibera del Consiglio di Amministrazione numero 18 del 4 novembre 2015 reperibile al link: </w:t>
      </w:r>
    </w:p>
    <w:p w14:paraId="164F4086"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hyperlink r:id="rId8">
        <w:r>
          <w:rPr>
            <w:rFonts w:ascii="Titillium" w:eastAsia="Titillium" w:hAnsi="Titillium" w:cs="Titillium"/>
            <w:color w:val="0563C1"/>
            <w:sz w:val="21"/>
            <w:szCs w:val="21"/>
            <w:u w:val="single"/>
          </w:rPr>
          <w:t>http://www.inaf.it/it/amministrazione-trasparente/disposizioni-generali/atti-generali/CodicedicomportamentoIstitutoNazionalediAstrofisicapdf.pdf/view</w:t>
        </w:r>
      </w:hyperlink>
      <w:r>
        <w:rPr>
          <w:rFonts w:ascii="Titillium" w:eastAsia="Titillium" w:hAnsi="Titillium" w:cs="Titillium"/>
          <w:color w:val="000000"/>
          <w:sz w:val="21"/>
          <w:szCs w:val="21"/>
        </w:rPr>
        <w:t xml:space="preserve"> e di impegnarsi, in caso di aggiudicazione, ad osservare e a far osservare ai propri dipendenti e collaboratori, per quanto applicabile, il suddetto codice, pena la risoluzione del contratto;</w:t>
      </w:r>
    </w:p>
    <w:p w14:paraId="796B15B7"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1C2D00CC"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bookmarkStart w:id="6" w:name="_heading=h.4d34og8" w:colFirst="0" w:colLast="0"/>
      <w:bookmarkEnd w:id="6"/>
      <w:r>
        <w:rPr>
          <w:rFonts w:ascii="Titillium" w:eastAsia="Titillium" w:hAnsi="Titillium" w:cs="Titillium"/>
          <w:b/>
          <w:color w:val="000000"/>
          <w:sz w:val="21"/>
          <w:szCs w:val="21"/>
        </w:rPr>
        <w:t>[EVENTUALE per gli operatori economici non residenti e privi di stabile organizzazione in Italia]</w:t>
      </w:r>
      <w:r>
        <w:rPr>
          <w:rFonts w:ascii="Titillium" w:eastAsia="Titillium" w:hAnsi="Titillium" w:cs="Titillium"/>
          <w:color w:val="000000"/>
          <w:sz w:val="21"/>
          <w:szCs w:val="21"/>
        </w:rPr>
        <w:t xml:space="preserve"> </w:t>
      </w:r>
    </w:p>
    <w:p w14:paraId="05845A92"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di impegnarsi ad uniformarsi, in caso di aggiudicazione, alla disciplina di cui agli articoli 17, comma 2, e 53, comma 3 del D.P.R. 633/1972 e a comunicare alla stazione appaltante la nomina del proprio rappresentante fiscale, nelle forme di legge;</w:t>
      </w:r>
    </w:p>
    <w:p w14:paraId="419338F4"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47FCBF08"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[EVENTUALE per gli operatori economici non residenti e privi di stabile organizzazione in Italia]</w:t>
      </w:r>
      <w:r>
        <w:rPr>
          <w:rFonts w:ascii="Titillium" w:eastAsia="Titillium" w:hAnsi="Titillium" w:cs="Titillium"/>
          <w:color w:val="000000"/>
          <w:sz w:val="21"/>
          <w:szCs w:val="21"/>
        </w:rPr>
        <w:t xml:space="preserve"> </w:t>
      </w:r>
    </w:p>
    <w:p w14:paraId="4639804E"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il domicilio fiscale ____________, il codice fiscale ___________, la partita IVA _______________, l’indirizzo di posta elettronica certificata o strumento analogo negli altri Stati Membri, ai fini delle comunicazioni di cui all’art. 90 del Codice ________________________________________________;</w:t>
      </w:r>
    </w:p>
    <w:p w14:paraId="26FC077B" w14:textId="77777777" w:rsidR="009F65FE" w:rsidRDefault="009F65FE">
      <w:pPr>
        <w:pBdr>
          <w:top w:val="nil"/>
          <w:left w:val="nil"/>
          <w:bottom w:val="nil"/>
          <w:right w:val="nil"/>
          <w:between w:val="nil"/>
        </w:pBdr>
        <w:ind w:left="720"/>
        <w:rPr>
          <w:rFonts w:ascii="Titillium" w:eastAsia="Titillium" w:hAnsi="Titillium" w:cs="Titillium"/>
          <w:color w:val="000000"/>
          <w:sz w:val="21"/>
          <w:szCs w:val="21"/>
        </w:rPr>
      </w:pPr>
    </w:p>
    <w:p w14:paraId="2DB7B6AD" w14:textId="77777777" w:rsidR="009F65FE" w:rsidRDefault="003929AB">
      <w:pPr>
        <w:numPr>
          <w:ilvl w:val="0"/>
          <w:numId w:val="4"/>
        </w:numPr>
        <w:pBdr>
          <w:top w:val="nil"/>
          <w:left w:val="nil"/>
          <w:bottom w:val="nil"/>
          <w:right w:val="nil"/>
          <w:between w:val="nil"/>
        </w:pBdr>
        <w:ind w:left="28"/>
        <w:rPr>
          <w:rFonts w:ascii="Titillium" w:eastAsia="Titillium" w:hAnsi="Titillium" w:cs="Titillium"/>
          <w:b/>
          <w:color w:val="000000"/>
          <w:sz w:val="21"/>
          <w:szCs w:val="21"/>
        </w:rPr>
      </w:pPr>
      <w:r>
        <w:rPr>
          <w:rFonts w:ascii="Titillium" w:eastAsia="Titillium" w:hAnsi="Titillium" w:cs="Titillium"/>
          <w:b/>
          <w:color w:val="000000"/>
          <w:sz w:val="21"/>
          <w:szCs w:val="21"/>
        </w:rPr>
        <w:t>[EVENTUALE per gli operatori economici aventi sede, residenza o domicilio nei paesi inseriti nelle c.d. “</w:t>
      </w:r>
      <w:r>
        <w:rPr>
          <w:rFonts w:ascii="Titillium" w:eastAsia="Titillium" w:hAnsi="Titillium" w:cs="Titillium"/>
          <w:b/>
          <w:i/>
          <w:color w:val="000000"/>
          <w:sz w:val="21"/>
          <w:szCs w:val="21"/>
        </w:rPr>
        <w:t>black list</w:t>
      </w:r>
      <w:r>
        <w:rPr>
          <w:rFonts w:ascii="Titillium" w:eastAsia="Titillium" w:hAnsi="Titillium" w:cs="Titillium"/>
          <w:b/>
          <w:color w:val="000000"/>
          <w:sz w:val="21"/>
          <w:szCs w:val="21"/>
        </w:rPr>
        <w:t xml:space="preserve">”] </w:t>
      </w:r>
    </w:p>
    <w:p w14:paraId="7BE7DF23" w14:textId="77777777" w:rsidR="009F65FE" w:rsidRDefault="003929AB">
      <w:pPr>
        <w:pBdr>
          <w:top w:val="nil"/>
          <w:left w:val="nil"/>
          <w:bottom w:val="nil"/>
          <w:right w:val="nil"/>
          <w:between w:val="nil"/>
        </w:pBdr>
        <w:rPr>
          <w:rFonts w:ascii="Titillium" w:eastAsia="Titillium" w:hAnsi="Titillium" w:cs="Titillium"/>
          <w:b/>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w:t>
      </w:r>
      <w:r>
        <w:rPr>
          <w:rFonts w:ascii="Titillium" w:eastAsia="Titillium" w:hAnsi="Titillium" w:cs="Titillium"/>
          <w:color w:val="000000"/>
          <w:sz w:val="21"/>
          <w:szCs w:val="21"/>
        </w:rPr>
        <w:t xml:space="preserve">di essere in possesso dell’autorizzazione in corso di validità rilasciata ai sensi del D.M. 14 dicembre 2010 del Ministero dell’economia e delle finanze ai sensi (art. 37 del D.L. 78/2010, convertito in L. 122/2010) </w:t>
      </w:r>
    </w:p>
    <w:p w14:paraId="09684F2F" w14:textId="77777777" w:rsidR="009F65FE" w:rsidRDefault="003929AB">
      <w:pPr>
        <w:pBdr>
          <w:top w:val="nil"/>
          <w:left w:val="nil"/>
          <w:bottom w:val="nil"/>
          <w:right w:val="nil"/>
          <w:between w:val="nil"/>
        </w:pBdr>
        <w:ind w:left="28"/>
        <w:rPr>
          <w:rFonts w:ascii="Titillium" w:eastAsia="Titillium" w:hAnsi="Titillium" w:cs="Titillium"/>
          <w:i/>
          <w:color w:val="000000"/>
          <w:sz w:val="21"/>
          <w:szCs w:val="21"/>
        </w:rPr>
      </w:pPr>
      <w:r>
        <w:rPr>
          <w:rFonts w:ascii="Titillium" w:eastAsia="Titillium" w:hAnsi="Titillium" w:cs="Titillium"/>
          <w:b/>
          <w:i/>
          <w:color w:val="000000"/>
          <w:sz w:val="21"/>
          <w:szCs w:val="21"/>
        </w:rPr>
        <w:t>oppure</w:t>
      </w:r>
      <w:r>
        <w:rPr>
          <w:rFonts w:ascii="Titillium" w:eastAsia="Titillium" w:hAnsi="Titillium" w:cs="Titillium"/>
          <w:i/>
          <w:color w:val="000000"/>
          <w:sz w:val="21"/>
          <w:szCs w:val="21"/>
        </w:rPr>
        <w:t xml:space="preserve"> </w:t>
      </w:r>
    </w:p>
    <w:p w14:paraId="01B26F28" w14:textId="77777777" w:rsidR="009F65FE" w:rsidRDefault="003929AB">
      <w:pPr>
        <w:pBdr>
          <w:top w:val="nil"/>
          <w:left w:val="nil"/>
          <w:bottom w:val="nil"/>
          <w:right w:val="nil"/>
          <w:between w:val="nil"/>
        </w:pBdr>
        <w:ind w:left="28"/>
        <w:rPr>
          <w:rFonts w:ascii="Titillium" w:eastAsia="Titillium" w:hAnsi="Titillium" w:cs="Titillium"/>
          <w:i/>
          <w:color w:val="000000"/>
          <w:sz w:val="21"/>
          <w:szCs w:val="21"/>
        </w:rPr>
      </w:pPr>
      <w:r>
        <w:rPr>
          <w:rFonts w:ascii="Courier New" w:eastAsia="Courier New" w:hAnsi="Courier New" w:cs="Courier New"/>
          <w:color w:val="000000"/>
          <w:sz w:val="21"/>
          <w:szCs w:val="21"/>
        </w:rPr>
        <w:t>□</w:t>
      </w:r>
      <w:r>
        <w:rPr>
          <w:rFonts w:ascii="Titillium" w:eastAsia="Titillium" w:hAnsi="Titillium" w:cs="Titillium"/>
          <w:color w:val="000000"/>
          <w:sz w:val="21"/>
          <w:szCs w:val="21"/>
        </w:rPr>
        <w:t xml:space="preserve"> di aver presentato domanda di autorizzazione ai sensi dell’art. 1 comma 3 del D.M. 14.12.2010 e allega copia conforme dell’istanza di autorizzazione inviata al Ministero;</w:t>
      </w:r>
    </w:p>
    <w:p w14:paraId="355F0409" w14:textId="77777777" w:rsidR="009F65FE" w:rsidRDefault="009F65FE">
      <w:pPr>
        <w:pBdr>
          <w:top w:val="nil"/>
          <w:left w:val="nil"/>
          <w:bottom w:val="nil"/>
          <w:right w:val="nil"/>
          <w:between w:val="nil"/>
        </w:pBdr>
        <w:spacing w:line="276" w:lineRule="auto"/>
        <w:jc w:val="both"/>
        <w:rPr>
          <w:rFonts w:ascii="Titillium" w:eastAsia="Titillium" w:hAnsi="Titillium" w:cs="Titillium"/>
          <w:sz w:val="21"/>
          <w:szCs w:val="21"/>
        </w:rPr>
      </w:pPr>
    </w:p>
    <w:p w14:paraId="192A9116"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accettare</w:t>
      </w:r>
      <w:r>
        <w:rPr>
          <w:rFonts w:ascii="Titillium" w:eastAsia="Titillium" w:hAnsi="Titillium" w:cs="Titillium"/>
          <w:color w:val="000000"/>
          <w:sz w:val="21"/>
          <w:szCs w:val="21"/>
        </w:rPr>
        <w:t xml:space="preserve"> la seguente clausola riportata nel disciplinare di gara, nel paragrafo dedicato alle “COMUNICAZIONI”: “</w:t>
      </w:r>
      <w:r>
        <w:rPr>
          <w:rFonts w:ascii="Titillium" w:eastAsia="Titillium" w:hAnsi="Titillium" w:cs="Titillium"/>
          <w:i/>
          <w:color w:val="000000"/>
          <w:sz w:val="21"/>
          <w:szCs w:val="21"/>
        </w:rPr>
        <w:t>Tutte le comunicazioni e gli scambi di informazioni tra stazione appaltante e operatori economici sono eseguiti in conformità con quanto disposto dal decreto legislativo n. 82/05, tramite la Piattaforma di approvvigionamento digitale e sono accessibili nella Sezione Comunicazioni. Per quanto non previsto dalla stessa Piattaforma, mediante utilizzo del domicilio digitale estratto da uno degli indici di cui agli articoli 6-bis, 6-ter, 6-quater, del decreto legislativo n. 82/05 o, per gli operatori economici transfrontalieri, attraverso un indirizzo di servizio elettronico di recapito certificato qualificato ai sensi del Regolamento eIDAS</w:t>
      </w:r>
      <w:r>
        <w:rPr>
          <w:rFonts w:ascii="Titillium" w:eastAsia="Titillium" w:hAnsi="Titillium" w:cs="Titillium"/>
          <w:color w:val="000000"/>
          <w:sz w:val="21"/>
          <w:szCs w:val="21"/>
        </w:rPr>
        <w:t>”;</w:t>
      </w:r>
    </w:p>
    <w:p w14:paraId="110CABDF"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2E2A4A4D"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b/>
          <w:color w:val="000000"/>
          <w:sz w:val="21"/>
          <w:szCs w:val="21"/>
        </w:rPr>
      </w:pPr>
      <w:r>
        <w:rPr>
          <w:rFonts w:ascii="Titillium" w:eastAsia="Titillium" w:hAnsi="Titillium" w:cs="Titillium"/>
          <w:b/>
          <w:color w:val="000000"/>
          <w:sz w:val="21"/>
          <w:szCs w:val="21"/>
        </w:rPr>
        <w:t xml:space="preserve">di autorizzare </w:t>
      </w:r>
      <w:r>
        <w:rPr>
          <w:rFonts w:ascii="Titillium" w:eastAsia="Titillium" w:hAnsi="Titillium" w:cs="Titillium"/>
          <w:color w:val="000000"/>
          <w:sz w:val="21"/>
          <w:szCs w:val="21"/>
        </w:rPr>
        <w:t>la Stazione appaltante a trasmettere ogni comunicazione ai sensi dell’art. 29 del D. lgs. n. 36/2023 tramite le piattaforme dell’ecosistema nazionale di cui all’art. 22 del predetto decreto e, per quanto non previsto dalle predette piattaforme, mediante l’utilizzo del domicilio digitale;</w:t>
      </w:r>
    </w:p>
    <w:p w14:paraId="27713FF8" w14:textId="77777777" w:rsidR="009F65FE" w:rsidRDefault="009F65FE">
      <w:pPr>
        <w:pBdr>
          <w:top w:val="nil"/>
          <w:left w:val="nil"/>
          <w:bottom w:val="nil"/>
          <w:right w:val="nil"/>
          <w:between w:val="nil"/>
        </w:pBdr>
        <w:ind w:left="720"/>
        <w:rPr>
          <w:rFonts w:ascii="Titillium" w:eastAsia="Titillium" w:hAnsi="Titillium" w:cs="Titillium"/>
          <w:b/>
          <w:color w:val="000000"/>
          <w:sz w:val="21"/>
          <w:szCs w:val="21"/>
        </w:rPr>
      </w:pPr>
    </w:p>
    <w:p w14:paraId="3EAFD852" w14:textId="77777777" w:rsidR="009F65FE" w:rsidRDefault="003929AB">
      <w:pPr>
        <w:numPr>
          <w:ilvl w:val="0"/>
          <w:numId w:val="4"/>
        </w:numPr>
        <w:pBdr>
          <w:top w:val="nil"/>
          <w:left w:val="nil"/>
          <w:bottom w:val="nil"/>
          <w:right w:val="nil"/>
          <w:between w:val="nil"/>
        </w:pBdr>
        <w:spacing w:line="276" w:lineRule="auto"/>
        <w:ind w:left="28"/>
        <w:jc w:val="both"/>
        <w:rPr>
          <w:rFonts w:ascii="Titillium" w:eastAsia="Titillium" w:hAnsi="Titillium" w:cs="Titillium"/>
          <w:color w:val="000000"/>
          <w:sz w:val="21"/>
          <w:szCs w:val="21"/>
        </w:rPr>
      </w:pPr>
      <w:r>
        <w:rPr>
          <w:rFonts w:ascii="Titillium" w:eastAsia="Titillium" w:hAnsi="Titillium" w:cs="Titillium"/>
          <w:b/>
          <w:color w:val="000000"/>
          <w:sz w:val="21"/>
          <w:szCs w:val="21"/>
        </w:rPr>
        <w:t>che il proprio domicilio digitale</w:t>
      </w:r>
      <w:r>
        <w:rPr>
          <w:rFonts w:ascii="Titillium" w:eastAsia="Titillium" w:hAnsi="Titillium" w:cs="Titillium"/>
          <w:color w:val="000000"/>
          <w:sz w:val="21"/>
          <w:szCs w:val="21"/>
        </w:rPr>
        <w:t xml:space="preserve"> presente negli indici di cui agli articoli 6-bis e 6-ter del D. lgs. n. 82/05 è il seguente: _______________________________________________________________</w:t>
      </w:r>
    </w:p>
    <w:p w14:paraId="7B0AA9B6" w14:textId="77777777" w:rsidR="009F65FE" w:rsidRDefault="003929AB">
      <w:pPr>
        <w:pBdr>
          <w:top w:val="nil"/>
          <w:left w:val="nil"/>
          <w:bottom w:val="nil"/>
          <w:right w:val="nil"/>
          <w:between w:val="nil"/>
        </w:pBdr>
        <w:spacing w:line="276" w:lineRule="auto"/>
        <w:jc w:val="both"/>
        <w:rPr>
          <w:rFonts w:ascii="Titillium" w:eastAsia="Titillium" w:hAnsi="Titillium" w:cs="Titillium"/>
          <w:b/>
          <w:color w:val="000000"/>
          <w:sz w:val="21"/>
          <w:szCs w:val="21"/>
        </w:rPr>
      </w:pPr>
      <w:r>
        <w:rPr>
          <w:rFonts w:ascii="Titillium" w:eastAsia="Titillium" w:hAnsi="Titillium" w:cs="Titillium"/>
          <w:b/>
          <w:i/>
          <w:color w:val="000000"/>
          <w:sz w:val="21"/>
          <w:szCs w:val="21"/>
        </w:rPr>
        <w:t>oppure</w:t>
      </w:r>
      <w:r>
        <w:rPr>
          <w:rFonts w:ascii="Titillium" w:eastAsia="Titillium" w:hAnsi="Titillium" w:cs="Titillium"/>
          <w:i/>
          <w:color w:val="000000"/>
          <w:sz w:val="21"/>
          <w:szCs w:val="21"/>
        </w:rPr>
        <w:t xml:space="preserve"> [solo in caso di concorrenti aventi sede in altri Stati membri]</w:t>
      </w:r>
      <w:r>
        <w:rPr>
          <w:rFonts w:ascii="Titillium" w:eastAsia="Titillium" w:hAnsi="Titillium" w:cs="Titillium"/>
          <w:color w:val="000000"/>
          <w:sz w:val="21"/>
          <w:szCs w:val="21"/>
        </w:rPr>
        <w:t xml:space="preserve"> </w:t>
      </w:r>
    </w:p>
    <w:p w14:paraId="631DA8D8"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b/>
          <w:color w:val="000000"/>
          <w:sz w:val="21"/>
          <w:szCs w:val="21"/>
        </w:rPr>
        <w:t>il seguente domicilio</w:t>
      </w:r>
      <w:r>
        <w:rPr>
          <w:rFonts w:ascii="Titillium" w:eastAsia="Titillium" w:hAnsi="Titillium" w:cs="Titillium"/>
          <w:color w:val="000000"/>
          <w:sz w:val="21"/>
          <w:szCs w:val="21"/>
        </w:rPr>
        <w:t xml:space="preserve"> fiscale ____________ </w:t>
      </w:r>
      <w:r>
        <w:rPr>
          <w:rFonts w:ascii="Titillium" w:eastAsia="Titillium" w:hAnsi="Titillium" w:cs="Titillium"/>
          <w:sz w:val="21"/>
          <w:szCs w:val="21"/>
        </w:rPr>
        <w:t xml:space="preserve">e </w:t>
      </w:r>
      <w:r>
        <w:rPr>
          <w:rFonts w:ascii="Titillium" w:eastAsia="Titillium" w:hAnsi="Titillium" w:cs="Titillium"/>
          <w:color w:val="000000"/>
          <w:sz w:val="21"/>
          <w:szCs w:val="21"/>
        </w:rPr>
        <w:t>l’indirizzo di servizio elettronico di recapito certificato qualificato ai sensi del Regolamento eIDAS ________________ e, per le comunicazioni che avvengono tramite la Piattaforma, elegge domicilio nell’apposita Sezione Comunicazioni;</w:t>
      </w:r>
    </w:p>
    <w:p w14:paraId="03E35EE2" w14:textId="77777777" w:rsidR="009F65FE" w:rsidRDefault="009F65FE">
      <w:pPr>
        <w:pBdr>
          <w:top w:val="nil"/>
          <w:left w:val="nil"/>
          <w:bottom w:val="nil"/>
          <w:right w:val="nil"/>
          <w:between w:val="nil"/>
        </w:pBdr>
        <w:ind w:left="28"/>
        <w:rPr>
          <w:rFonts w:ascii="Titillium" w:eastAsia="Titillium" w:hAnsi="Titillium" w:cs="Titillium"/>
          <w:color w:val="000000"/>
          <w:sz w:val="21"/>
          <w:szCs w:val="21"/>
        </w:rPr>
      </w:pPr>
    </w:p>
    <w:p w14:paraId="44BBB39B" w14:textId="77777777" w:rsidR="009F65FE" w:rsidRDefault="003929AB">
      <w:pPr>
        <w:numPr>
          <w:ilvl w:val="0"/>
          <w:numId w:val="4"/>
        </w:numPr>
        <w:pBdr>
          <w:top w:val="nil"/>
          <w:left w:val="nil"/>
          <w:bottom w:val="nil"/>
          <w:right w:val="nil"/>
          <w:between w:val="nil"/>
        </w:pBdr>
        <w:ind w:left="28"/>
        <w:rPr>
          <w:rFonts w:ascii="Titillium" w:eastAsia="Titillium" w:hAnsi="Titillium" w:cs="Titillium"/>
          <w:color w:val="000000"/>
          <w:sz w:val="21"/>
          <w:szCs w:val="21"/>
        </w:rPr>
      </w:pPr>
      <w:r>
        <w:rPr>
          <w:rFonts w:ascii="Titillium" w:eastAsia="Titillium" w:hAnsi="Titillium" w:cs="Titillium"/>
          <w:b/>
          <w:color w:val="000000"/>
          <w:sz w:val="21"/>
          <w:szCs w:val="21"/>
        </w:rPr>
        <w:t>che i dati di cui al punto precedente sono stati riportati</w:t>
      </w:r>
      <w:r>
        <w:rPr>
          <w:rFonts w:ascii="Titillium" w:eastAsia="Titillium" w:hAnsi="Titillium" w:cs="Titillium"/>
          <w:color w:val="000000"/>
          <w:sz w:val="21"/>
          <w:szCs w:val="21"/>
        </w:rPr>
        <w:t>, nella piattaforma telematica in fase di registrazione sulla piattaforma medesima per la presentazione dell’offerta, e sono, pertanto, aggiornati, validi ed efficaci ai fini di tutte le comunicazioni che la Stazione Appaltante effettuerà;</w:t>
      </w:r>
    </w:p>
    <w:p w14:paraId="6FE6214A" w14:textId="77777777" w:rsidR="009F65FE" w:rsidRDefault="009F65FE">
      <w:pPr>
        <w:pBdr>
          <w:top w:val="nil"/>
          <w:left w:val="nil"/>
          <w:bottom w:val="nil"/>
          <w:right w:val="nil"/>
          <w:between w:val="nil"/>
        </w:pBdr>
        <w:ind w:left="28"/>
        <w:rPr>
          <w:rFonts w:ascii="Titillium" w:eastAsia="Titillium" w:hAnsi="Titillium" w:cs="Titillium"/>
          <w:color w:val="000000"/>
          <w:sz w:val="21"/>
          <w:szCs w:val="21"/>
        </w:rPr>
      </w:pPr>
    </w:p>
    <w:p w14:paraId="6A9807DF" w14:textId="77777777" w:rsidR="009F65FE" w:rsidRDefault="003929AB">
      <w:pPr>
        <w:numPr>
          <w:ilvl w:val="0"/>
          <w:numId w:val="4"/>
        </w:numPr>
        <w:pBdr>
          <w:top w:val="nil"/>
          <w:left w:val="nil"/>
          <w:bottom w:val="nil"/>
          <w:right w:val="nil"/>
          <w:between w:val="nil"/>
        </w:pBdr>
        <w:ind w:left="28"/>
        <w:rPr>
          <w:rFonts w:ascii="Titillium" w:eastAsia="Titillium" w:hAnsi="Titillium" w:cs="Titillium"/>
          <w:color w:val="000000"/>
          <w:sz w:val="21"/>
          <w:szCs w:val="21"/>
        </w:rPr>
      </w:pPr>
      <w:r>
        <w:rPr>
          <w:rFonts w:ascii="Titillium" w:eastAsia="Titillium" w:hAnsi="Titillium" w:cs="Titillium"/>
          <w:b/>
          <w:color w:val="000000"/>
          <w:sz w:val="21"/>
          <w:szCs w:val="21"/>
        </w:rPr>
        <w:t>di essere consapevole</w:t>
      </w:r>
      <w:r>
        <w:rPr>
          <w:rFonts w:ascii="Titillium" w:eastAsia="Titillium" w:hAnsi="Titillium" w:cs="Titillium"/>
          <w:color w:val="000000"/>
          <w:sz w:val="21"/>
          <w:szCs w:val="21"/>
        </w:rPr>
        <w:t xml:space="preserve"> che, nei casi di cui all’articolo 36, commi 1 e 2, del Codice, l’offerta presentata sarà resa disponibile mediante accesso diretto alla piattaforma</w:t>
      </w:r>
      <w:r>
        <w:rPr>
          <w:rFonts w:ascii="Titillium" w:eastAsia="Titillium" w:hAnsi="Titillium" w:cs="Titillium"/>
          <w:b/>
          <w:color w:val="000000"/>
          <w:sz w:val="21"/>
          <w:szCs w:val="21"/>
        </w:rPr>
        <w:t>.</w:t>
      </w:r>
    </w:p>
    <w:p w14:paraId="6572D6BE" w14:textId="77777777" w:rsidR="009F65FE" w:rsidRDefault="009F65FE">
      <w:pPr>
        <w:pBdr>
          <w:top w:val="nil"/>
          <w:left w:val="nil"/>
          <w:bottom w:val="nil"/>
          <w:right w:val="nil"/>
          <w:between w:val="nil"/>
        </w:pBdr>
        <w:ind w:left="567"/>
        <w:rPr>
          <w:rFonts w:ascii="Titillium" w:eastAsia="Titillium" w:hAnsi="Titillium" w:cs="Titillium"/>
          <w:color w:val="000000"/>
          <w:sz w:val="21"/>
          <w:szCs w:val="21"/>
        </w:rPr>
      </w:pPr>
    </w:p>
    <w:p w14:paraId="01A523F9"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autorizzare la Stazione appaltante</w:t>
      </w:r>
      <w:r>
        <w:rPr>
          <w:rFonts w:ascii="Titillium" w:eastAsia="Titillium" w:hAnsi="Titillium" w:cs="Titillium"/>
          <w:color w:val="000000"/>
          <w:sz w:val="21"/>
          <w:szCs w:val="21"/>
        </w:rPr>
        <w:t xml:space="preserve"> ad assicurare l’accesso alla documentazione presentata per la partecipazione alla gara, su richiesta di altri concorrenti, nel rispetto della normativa del Codice relativa all’accesso agli atti;</w:t>
      </w:r>
    </w:p>
    <w:p w14:paraId="3761BEFB" w14:textId="77777777" w:rsidR="009F65FE" w:rsidRDefault="003929AB">
      <w:pPr>
        <w:pBdr>
          <w:top w:val="nil"/>
          <w:left w:val="nil"/>
          <w:bottom w:val="nil"/>
          <w:right w:val="nil"/>
          <w:between w:val="nil"/>
        </w:pBdr>
        <w:spacing w:line="276" w:lineRule="auto"/>
        <w:jc w:val="both"/>
        <w:rPr>
          <w:rFonts w:ascii="Titillium" w:eastAsia="Titillium" w:hAnsi="Titillium" w:cs="Titillium"/>
          <w:b/>
          <w:color w:val="000000"/>
          <w:sz w:val="21"/>
          <w:szCs w:val="21"/>
        </w:rPr>
      </w:pPr>
      <w:r>
        <w:rPr>
          <w:rFonts w:ascii="Titillium" w:eastAsia="Titillium" w:hAnsi="Titillium" w:cs="Titillium"/>
          <w:b/>
          <w:i/>
          <w:color w:val="000000"/>
          <w:sz w:val="21"/>
          <w:szCs w:val="21"/>
        </w:rPr>
        <w:t>oppure</w:t>
      </w:r>
    </w:p>
    <w:p w14:paraId="3BE86D84"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bookmarkStart w:id="7" w:name="_heading=h.2s8eyo1" w:colFirst="0" w:colLast="0"/>
      <w:bookmarkEnd w:id="7"/>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non autorizzare</w:t>
      </w:r>
      <w:r>
        <w:rPr>
          <w:rFonts w:ascii="Titillium" w:eastAsia="Titillium" w:hAnsi="Titillium" w:cs="Titillium"/>
          <w:color w:val="000000"/>
          <w:sz w:val="21"/>
          <w:szCs w:val="21"/>
        </w:rPr>
        <w:t xml:space="preserve"> </w:t>
      </w:r>
      <w:r>
        <w:rPr>
          <w:rFonts w:ascii="Titillium" w:eastAsia="Titillium" w:hAnsi="Titillium" w:cs="Titillium"/>
          <w:b/>
          <w:color w:val="000000"/>
          <w:sz w:val="21"/>
          <w:szCs w:val="21"/>
        </w:rPr>
        <w:t>la stazione appaltante a rilasciare copia dell’offerta tecnica</w:t>
      </w:r>
      <w:r>
        <w:rPr>
          <w:rFonts w:ascii="Titillium" w:eastAsia="Titillium" w:hAnsi="Titillium" w:cs="Titillium"/>
          <w:b/>
          <w:color w:val="000000"/>
          <w:sz w:val="21"/>
          <w:szCs w:val="21"/>
          <w:vertAlign w:val="superscript"/>
        </w:rPr>
        <w:footnoteReference w:id="4"/>
      </w:r>
      <w:r>
        <w:rPr>
          <w:rFonts w:ascii="Titillium" w:eastAsia="Titillium" w:hAnsi="Titillium" w:cs="Titillium"/>
          <w:b/>
          <w:color w:val="000000"/>
          <w:sz w:val="21"/>
          <w:szCs w:val="21"/>
        </w:rPr>
        <w:t xml:space="preserve"> e delle spiegazioni</w:t>
      </w:r>
      <w:r>
        <w:rPr>
          <w:rFonts w:ascii="Titillium" w:eastAsia="Titillium" w:hAnsi="Titillium" w:cs="Titillium"/>
          <w:color w:val="000000"/>
          <w:sz w:val="21"/>
          <w:szCs w:val="21"/>
        </w:rPr>
        <w:t xml:space="preserve"> che saranno eventualmente richieste in sede di verifica delle offerte anomale, in quanto coperte da segreto tecnico/commerciale, ed è consapevole che tale dichiarazione, denominata “Segreti tecnici e commerciali”, dovrà essere adeguatamente motivata e comprovata ai sensi della normativa relativa all’accesso agli atti di cui agli artt. art. 35 e 36 D. lgs. n. 36/2023;</w:t>
      </w:r>
    </w:p>
    <w:p w14:paraId="5EBE2716"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3FEE516E"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impegnarsi</w:t>
      </w:r>
      <w:r>
        <w:rPr>
          <w:rFonts w:ascii="Titillium" w:eastAsia="Titillium" w:hAnsi="Titillium" w:cs="Titillium"/>
          <w:color w:val="000000"/>
          <w:sz w:val="21"/>
          <w:szCs w:val="21"/>
        </w:rPr>
        <w:t xml:space="preserve"> a non divulgare notizie e fatti relativi alla Stazione appaltante dei quali sia venuta a conoscenza nell’esecuzione delle prestazioni oggetto dell’appalto; </w:t>
      </w:r>
    </w:p>
    <w:p w14:paraId="34B6CC04"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63BD943C"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essere in posizione di regolarità contributiva</w:t>
      </w:r>
      <w:r>
        <w:rPr>
          <w:rFonts w:ascii="Titillium" w:eastAsia="Titillium" w:hAnsi="Titillium" w:cs="Titillium"/>
          <w:color w:val="000000"/>
          <w:sz w:val="21"/>
          <w:szCs w:val="21"/>
        </w:rPr>
        <w:t xml:space="preserve"> di cui all’art. 2 del D.L., n. 210/2002, convertito dalla L. n. 266/2002; </w:t>
      </w:r>
    </w:p>
    <w:p w14:paraId="7AECB961" w14:textId="77777777" w:rsidR="009F65FE" w:rsidRDefault="009F65FE">
      <w:pPr>
        <w:rPr>
          <w:rFonts w:ascii="Titillium" w:eastAsia="Titillium" w:hAnsi="Titillium" w:cs="Titillium"/>
          <w:color w:val="000000"/>
          <w:sz w:val="21"/>
          <w:szCs w:val="21"/>
        </w:rPr>
      </w:pPr>
    </w:p>
    <w:p w14:paraId="6690BA8B"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non trovarsi</w:t>
      </w:r>
      <w:r>
        <w:rPr>
          <w:rFonts w:ascii="Titillium" w:eastAsia="Titillium" w:hAnsi="Titillium" w:cs="Titillium"/>
          <w:color w:val="000000"/>
          <w:sz w:val="21"/>
          <w:szCs w:val="21"/>
        </w:rPr>
        <w:t xml:space="preserve"> in alcuna delle cause di esclusione di cui all’art. 9, c. 2, lett. c), D. Lgs. n. 231/2001 (</w:t>
      </w:r>
      <w:r>
        <w:rPr>
          <w:rFonts w:ascii="Titillium" w:eastAsia="Titillium" w:hAnsi="Titillium" w:cs="Titillium"/>
          <w:i/>
          <w:color w:val="000000"/>
          <w:sz w:val="21"/>
          <w:szCs w:val="21"/>
        </w:rPr>
        <w:t>Disciplina della responsabilità amministrativa degli enti</w:t>
      </w:r>
      <w:r>
        <w:rPr>
          <w:rFonts w:ascii="Titillium" w:eastAsia="Titillium" w:hAnsi="Titillium" w:cs="Titillium"/>
          <w:color w:val="000000"/>
          <w:sz w:val="21"/>
          <w:szCs w:val="21"/>
        </w:rPr>
        <w:t xml:space="preserve">); </w:t>
      </w:r>
    </w:p>
    <w:p w14:paraId="59514D85" w14:textId="77777777" w:rsidR="009F65FE" w:rsidRDefault="009F65FE">
      <w:pPr>
        <w:pBdr>
          <w:top w:val="nil"/>
          <w:left w:val="nil"/>
          <w:bottom w:val="nil"/>
          <w:right w:val="nil"/>
          <w:between w:val="nil"/>
        </w:pBdr>
        <w:ind w:left="720"/>
        <w:rPr>
          <w:rFonts w:ascii="Titillium" w:eastAsia="Titillium" w:hAnsi="Titillium" w:cs="Titillium"/>
          <w:color w:val="000000"/>
          <w:sz w:val="21"/>
          <w:szCs w:val="21"/>
        </w:rPr>
      </w:pPr>
    </w:p>
    <w:p w14:paraId="1F17DE28" w14:textId="77777777" w:rsidR="009F65FE" w:rsidRDefault="003929AB">
      <w:pPr>
        <w:numPr>
          <w:ilvl w:val="0"/>
          <w:numId w:val="4"/>
        </w:numPr>
        <w:pBdr>
          <w:top w:val="nil"/>
          <w:left w:val="nil"/>
          <w:bottom w:val="nil"/>
          <w:right w:val="nil"/>
          <w:between w:val="nil"/>
        </w:pBdr>
        <w:ind w:left="28"/>
        <w:rPr>
          <w:rFonts w:ascii="Titillium" w:eastAsia="Titillium" w:hAnsi="Titillium" w:cs="Titillium"/>
          <w:color w:val="000000"/>
          <w:sz w:val="21"/>
          <w:szCs w:val="21"/>
        </w:rPr>
      </w:pPr>
      <w:r>
        <w:rPr>
          <w:rFonts w:ascii="Titillium" w:eastAsia="Titillium" w:hAnsi="Titillium" w:cs="Titillium"/>
          <w:b/>
          <w:color w:val="000000"/>
          <w:sz w:val="21"/>
          <w:szCs w:val="21"/>
        </w:rPr>
        <w:t>di essere a piena conoscenza e di assolvere</w:t>
      </w:r>
      <w:r>
        <w:rPr>
          <w:rFonts w:ascii="Titillium" w:eastAsia="Titillium" w:hAnsi="Titillium" w:cs="Titillium"/>
          <w:color w:val="000000"/>
          <w:sz w:val="21"/>
          <w:szCs w:val="21"/>
        </w:rPr>
        <w:t xml:space="preserve"> agli obblighi sulla tracciabilità dei flussi finanziari di cui all’art. 3 L. n. 136/2010;</w:t>
      </w:r>
    </w:p>
    <w:p w14:paraId="71B25B27"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625FD0F7"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bookmarkStart w:id="8" w:name="_heading=h.17dp8vu" w:colFirst="0" w:colLast="0"/>
      <w:bookmarkEnd w:id="8"/>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non essersi avvalso</w:t>
      </w:r>
      <w:r>
        <w:rPr>
          <w:rFonts w:ascii="Titillium" w:eastAsia="Titillium" w:hAnsi="Titillium" w:cs="Titillium"/>
          <w:color w:val="000000"/>
          <w:sz w:val="21"/>
          <w:szCs w:val="21"/>
        </w:rPr>
        <w:t xml:space="preserve"> dei piani individuali di emersione di cui alla L. n. 383/2001, come modificata dalla legge n. 266/2002, </w:t>
      </w:r>
    </w:p>
    <w:p w14:paraId="10E07FDB" w14:textId="77777777" w:rsidR="009F65FE" w:rsidRDefault="003929AB">
      <w:pPr>
        <w:pBdr>
          <w:top w:val="nil"/>
          <w:left w:val="nil"/>
          <w:bottom w:val="nil"/>
          <w:right w:val="nil"/>
          <w:between w:val="nil"/>
        </w:pBdr>
        <w:spacing w:line="276" w:lineRule="auto"/>
        <w:jc w:val="both"/>
        <w:rPr>
          <w:rFonts w:ascii="Titillium" w:eastAsia="Titillium" w:hAnsi="Titillium" w:cs="Titillium"/>
          <w:i/>
          <w:color w:val="000000"/>
          <w:sz w:val="21"/>
          <w:szCs w:val="21"/>
        </w:rPr>
      </w:pPr>
      <w:r>
        <w:rPr>
          <w:rFonts w:ascii="Titillium" w:eastAsia="Titillium" w:hAnsi="Titillium" w:cs="Titillium"/>
          <w:b/>
          <w:i/>
          <w:color w:val="000000"/>
          <w:sz w:val="21"/>
          <w:szCs w:val="21"/>
        </w:rPr>
        <w:t>oppure</w:t>
      </w:r>
      <w:r>
        <w:rPr>
          <w:rFonts w:ascii="Titillium" w:eastAsia="Titillium" w:hAnsi="Titillium" w:cs="Titillium"/>
          <w:i/>
          <w:color w:val="000000"/>
          <w:sz w:val="21"/>
          <w:szCs w:val="21"/>
        </w:rPr>
        <w:t xml:space="preserve"> </w:t>
      </w:r>
    </w:p>
    <w:p w14:paraId="0F95AC29"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di essersi avvalso</w:t>
      </w:r>
      <w:r>
        <w:rPr>
          <w:rFonts w:ascii="Titillium" w:eastAsia="Titillium" w:hAnsi="Titillium" w:cs="Titillium"/>
          <w:color w:val="000000"/>
          <w:sz w:val="21"/>
          <w:szCs w:val="21"/>
        </w:rPr>
        <w:t xml:space="preserve"> dei piani individuali di emersione di cui alla L. n. 383/2001, come modificata dalla legge n. 266/2002, ma che il periodo di emersione si è concluso;</w:t>
      </w:r>
    </w:p>
    <w:p w14:paraId="7BFA4BD3"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 xml:space="preserve"> </w:t>
      </w:r>
    </w:p>
    <w:p w14:paraId="4C3BE0ED" w14:textId="77777777" w:rsidR="009F65FE" w:rsidRDefault="003929AB">
      <w:pPr>
        <w:numPr>
          <w:ilvl w:val="0"/>
          <w:numId w:val="4"/>
        </w:numPr>
        <w:pBdr>
          <w:top w:val="nil"/>
          <w:left w:val="nil"/>
          <w:bottom w:val="nil"/>
          <w:right w:val="nil"/>
          <w:between w:val="nil"/>
        </w:pBdr>
        <w:ind w:left="28"/>
        <w:rPr>
          <w:rFonts w:ascii="Titillium" w:eastAsia="Titillium" w:hAnsi="Titillium" w:cs="Titillium"/>
          <w:color w:val="000000"/>
          <w:sz w:val="21"/>
          <w:szCs w:val="21"/>
        </w:rPr>
      </w:pPr>
      <w:r>
        <w:rPr>
          <w:rFonts w:ascii="Titillium" w:eastAsia="Titillium" w:hAnsi="Titillium" w:cs="Titillium"/>
          <w:b/>
          <w:color w:val="000000"/>
          <w:sz w:val="21"/>
          <w:szCs w:val="21"/>
        </w:rPr>
        <w:t>di impegnarsi</w:t>
      </w:r>
      <w:r>
        <w:rPr>
          <w:rFonts w:ascii="Titillium" w:eastAsia="Titillium" w:hAnsi="Titillium" w:cs="Titillium"/>
          <w:color w:val="000000"/>
          <w:sz w:val="21"/>
          <w:szCs w:val="21"/>
        </w:rPr>
        <w:t xml:space="preserve"> a comunicare tempestivamente alla Stazione appaltante ogni modificazione che dovesse intervenire negli assetti societari, nella struttura d’impresa e negli organismi tecnici e amministrativi, ai sensi dell’art. 83 del D. lgs. n. 159/2011 (c.d. Codice delle leggi antimafia);</w:t>
      </w:r>
    </w:p>
    <w:p w14:paraId="3030C6EE" w14:textId="77777777" w:rsidR="009F65FE" w:rsidRDefault="009F65FE">
      <w:pPr>
        <w:rPr>
          <w:rFonts w:ascii="Titillium" w:eastAsia="Titillium" w:hAnsi="Titillium" w:cs="Titillium"/>
          <w:b/>
          <w:color w:val="000000"/>
          <w:sz w:val="21"/>
          <w:szCs w:val="21"/>
        </w:rPr>
      </w:pPr>
    </w:p>
    <w:p w14:paraId="5A4C6257"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essere informato</w:t>
      </w:r>
      <w:r>
        <w:rPr>
          <w:rFonts w:ascii="Titillium" w:eastAsia="Titillium" w:hAnsi="Titillium" w:cs="Titillium"/>
          <w:color w:val="000000"/>
          <w:sz w:val="21"/>
          <w:szCs w:val="21"/>
        </w:rPr>
        <w:t>, ai sensi e per gli effetti dell’art. 13 del Regolamento UE n. 2016/679 che i dati personali raccolti saranno trattati, anche con strumenti informatici, esclusivamente nell’ambito della presente gara, nonché dell’esistenza dei diritti di cui agli articoli da 15 a 22 del Regolamento medesimo;</w:t>
      </w:r>
    </w:p>
    <w:p w14:paraId="3F658131" w14:textId="77777777" w:rsidR="009F65FE" w:rsidRDefault="009F65FE">
      <w:pPr>
        <w:pBdr>
          <w:top w:val="nil"/>
          <w:left w:val="nil"/>
          <w:bottom w:val="nil"/>
          <w:right w:val="nil"/>
          <w:between w:val="nil"/>
        </w:pBdr>
        <w:ind w:left="720"/>
        <w:rPr>
          <w:rFonts w:ascii="Titillium" w:eastAsia="Titillium" w:hAnsi="Titillium" w:cs="Titillium"/>
          <w:color w:val="000000"/>
          <w:sz w:val="21"/>
          <w:szCs w:val="21"/>
        </w:rPr>
      </w:pPr>
    </w:p>
    <w:p w14:paraId="341A099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aver preso visione e di accettare</w:t>
      </w:r>
      <w:r>
        <w:rPr>
          <w:rFonts w:ascii="Titillium" w:eastAsia="Titillium" w:hAnsi="Titillium" w:cs="Titillium"/>
          <w:color w:val="000000"/>
          <w:sz w:val="21"/>
          <w:szCs w:val="21"/>
        </w:rPr>
        <w:t xml:space="preserve"> il trattamento dei dati personali di cui al Disciplinare di gara;</w:t>
      </w:r>
    </w:p>
    <w:p w14:paraId="65EFE3EA"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3F0768F7" w14:textId="77777777" w:rsidR="009F65FE" w:rsidRDefault="003929AB">
      <w:pPr>
        <w:keepNext/>
        <w:numPr>
          <w:ilvl w:val="0"/>
          <w:numId w:val="4"/>
        </w:numPr>
        <w:pBdr>
          <w:top w:val="nil"/>
          <w:left w:val="nil"/>
          <w:bottom w:val="nil"/>
          <w:right w:val="nil"/>
          <w:between w:val="nil"/>
        </w:pBdr>
        <w:spacing w:line="276" w:lineRule="auto"/>
        <w:ind w:left="0"/>
        <w:jc w:val="both"/>
        <w:rPr>
          <w:rFonts w:ascii="Titillium" w:eastAsia="Titillium" w:hAnsi="Titillium" w:cs="Titillium"/>
          <w:b/>
          <w:color w:val="000000"/>
          <w:sz w:val="21"/>
          <w:szCs w:val="21"/>
        </w:rPr>
      </w:pPr>
      <w:bookmarkStart w:id="9" w:name="_heading=h.3znysh7" w:colFirst="0" w:colLast="0"/>
      <w:bookmarkEnd w:id="9"/>
      <w:r>
        <w:rPr>
          <w:rFonts w:ascii="Titillium" w:eastAsia="Titillium" w:hAnsi="Titillium" w:cs="Titillium"/>
          <w:b/>
          <w:color w:val="000000"/>
          <w:sz w:val="21"/>
          <w:szCs w:val="21"/>
        </w:rPr>
        <w:t>[EVENTUALE per gli operatori economici ammessi al concordato preventivo con continuità aziendale di cui all’art. 372 del D. lgs. n. 14/2019]</w:t>
      </w:r>
    </w:p>
    <w:p w14:paraId="1A52A738"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ad integrazione di quanto indicato nella parte III, sez. C, lett. d) del DGUE, i seguenti estremi del provvedimento di ammissione al concordato e del provvedimento di autorizzazione a partecipare alle gare ______________ rilasciati dal Tribunale di _____________ nonché dichiara che le altre imprese aderenti al raggruppamento non sono assoggettate ad una procedura concorsuale ai sensi dell’articolo 95, commi 4 e 5, del decreto legislativo n. 14/2019;</w:t>
      </w:r>
    </w:p>
    <w:p w14:paraId="6FE5E0DD"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60F07019" w14:textId="77777777" w:rsidR="009F65FE" w:rsidRDefault="003929AB">
      <w:pPr>
        <w:keepNext/>
        <w:numPr>
          <w:ilvl w:val="0"/>
          <w:numId w:val="4"/>
        </w:numPr>
        <w:pBdr>
          <w:top w:val="nil"/>
          <w:left w:val="nil"/>
          <w:bottom w:val="nil"/>
          <w:right w:val="nil"/>
          <w:between w:val="nil"/>
        </w:pBdr>
        <w:spacing w:line="276" w:lineRule="auto"/>
        <w:ind w:left="0"/>
        <w:jc w:val="both"/>
        <w:rPr>
          <w:rFonts w:ascii="Titillium" w:eastAsia="Titillium" w:hAnsi="Titillium" w:cs="Titillium"/>
          <w:b/>
          <w:color w:val="000000"/>
          <w:sz w:val="21"/>
          <w:szCs w:val="21"/>
        </w:rPr>
      </w:pPr>
      <w:r>
        <w:rPr>
          <w:rFonts w:ascii="Titillium" w:eastAsia="Titillium" w:hAnsi="Titillium" w:cs="Titillium"/>
          <w:b/>
          <w:color w:val="000000"/>
          <w:sz w:val="21"/>
          <w:szCs w:val="21"/>
        </w:rPr>
        <w:t xml:space="preserve">[EVENTUALE per gli operatori economici che hanno presentato domanda di ammissione al concordato preventivo con continuità aziendale senza che sia stato ancora emesso il decreto di ammissione] </w:t>
      </w:r>
      <w:r>
        <w:rPr>
          <w:rFonts w:ascii="Titillium" w:eastAsia="Titillium" w:hAnsi="Titillium" w:cs="Titillium"/>
          <w:color w:val="000000"/>
          <w:sz w:val="21"/>
          <w:szCs w:val="21"/>
        </w:rPr>
        <w:t>che:</w:t>
      </w:r>
    </w:p>
    <w:p w14:paraId="03096BFE" w14:textId="77777777" w:rsidR="009F65FE" w:rsidRDefault="003929AB">
      <w:pPr>
        <w:numPr>
          <w:ilvl w:val="0"/>
          <w:numId w:val="1"/>
        </w:numPr>
        <w:pBdr>
          <w:top w:val="nil"/>
          <w:left w:val="nil"/>
          <w:bottom w:val="nil"/>
          <w:right w:val="nil"/>
          <w:between w:val="nil"/>
        </w:pBdr>
        <w:spacing w:line="276" w:lineRule="auto"/>
        <w:ind w:left="0"/>
        <w:rPr>
          <w:rFonts w:ascii="Titillium" w:eastAsia="Titillium" w:hAnsi="Titillium" w:cs="Titillium"/>
          <w:color w:val="000000"/>
          <w:sz w:val="21"/>
          <w:szCs w:val="21"/>
        </w:rPr>
      </w:pPr>
      <w:r>
        <w:rPr>
          <w:rFonts w:ascii="Titillium" w:eastAsia="Titillium" w:hAnsi="Titillium" w:cs="Titillium"/>
          <w:color w:val="000000"/>
          <w:sz w:val="21"/>
          <w:szCs w:val="21"/>
        </w:rPr>
        <w:t>gli estremi del deposito della domanda di ammissione sono i seguenti: prot.n. ________ del _____________ presentata al _____________________;</w:t>
      </w:r>
    </w:p>
    <w:p w14:paraId="1B809AE2" w14:textId="77777777" w:rsidR="009F65FE" w:rsidRDefault="003929AB">
      <w:pPr>
        <w:numPr>
          <w:ilvl w:val="0"/>
          <w:numId w:val="1"/>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il provvedimento di autorizzazione a partecipare alle gare rilasciato dal Tribunale di _____________________ è il seguente: prot.n. ________ del _____________;</w:t>
      </w:r>
    </w:p>
    <w:p w14:paraId="2FC29F01" w14:textId="77777777" w:rsidR="009F65FE" w:rsidRDefault="003929AB">
      <w:pPr>
        <w:numPr>
          <w:ilvl w:val="0"/>
          <w:numId w:val="1"/>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il soggetto di cui intende avvalersi, ai sensi dell'articolo 372 del D. lgs. 14/2019, è il seguente: ____________________;</w:t>
      </w:r>
    </w:p>
    <w:p w14:paraId="585ABE1B"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2C3BFC5C"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i/>
          <w:color w:val="000000"/>
          <w:sz w:val="21"/>
          <w:szCs w:val="21"/>
        </w:rPr>
      </w:pPr>
      <w:r>
        <w:rPr>
          <w:rFonts w:ascii="Titillium" w:eastAsia="Titillium" w:hAnsi="Titillium" w:cs="Titillium"/>
          <w:b/>
          <w:color w:val="000000"/>
          <w:sz w:val="21"/>
          <w:szCs w:val="21"/>
        </w:rPr>
        <w:t>[EVENTUALE in caso di sottoposizione a sequestro o confisca ai sensi dell'articolo 240-bis del Codice penale o degli artt. 20 e 24 del D. lgs. n. 159/2011 e affidamento a custode o amministratore giudiziario o finanziario]</w:t>
      </w:r>
    </w:p>
    <w:p w14:paraId="144D1424" w14:textId="77777777" w:rsidR="009F65FE" w:rsidRDefault="003929AB">
      <w:pPr>
        <w:rPr>
          <w:rFonts w:ascii="Titillium" w:eastAsia="Titillium" w:hAnsi="Titillium" w:cs="Titillium"/>
          <w:color w:val="000000"/>
          <w:sz w:val="21"/>
          <w:szCs w:val="21"/>
        </w:rPr>
      </w:pPr>
      <w:r>
        <w:rPr>
          <w:rFonts w:ascii="Titillium" w:eastAsia="Titillium" w:hAnsi="Titillium" w:cs="Titillium"/>
          <w:color w:val="000000"/>
          <w:sz w:val="21"/>
          <w:szCs w:val="21"/>
        </w:rPr>
        <w:t xml:space="preserve"> che è stato emesso il provvedimento __________ in data _______ da parte di ______</w:t>
      </w:r>
    </w:p>
    <w:p w14:paraId="6C0A5DD3" w14:textId="77777777" w:rsidR="009F65FE" w:rsidRDefault="009F65FE">
      <w:pPr>
        <w:rPr>
          <w:rFonts w:ascii="Titillium" w:eastAsia="Titillium" w:hAnsi="Titillium" w:cs="Titillium"/>
          <w:color w:val="000000"/>
          <w:sz w:val="21"/>
          <w:szCs w:val="21"/>
        </w:rPr>
      </w:pPr>
    </w:p>
    <w:p w14:paraId="64BE630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lastRenderedPageBreak/>
        <w:t>□</w:t>
      </w:r>
      <w:r>
        <w:rPr>
          <w:rFonts w:ascii="Titillium" w:eastAsia="Titillium" w:hAnsi="Titillium" w:cs="Titillium"/>
          <w:b/>
          <w:color w:val="000000"/>
          <w:sz w:val="21"/>
          <w:szCs w:val="21"/>
        </w:rPr>
        <w:t xml:space="preserve"> </w:t>
      </w:r>
      <w:r>
        <w:rPr>
          <w:rFonts w:ascii="Titillium" w:eastAsia="Titillium" w:hAnsi="Titillium" w:cs="Titillium"/>
          <w:color w:val="000000"/>
          <w:sz w:val="21"/>
          <w:szCs w:val="21"/>
          <w:u w:val="single"/>
        </w:rPr>
        <w:t>di essere iscritto</w:t>
      </w:r>
      <w:r>
        <w:rPr>
          <w:rFonts w:ascii="Titillium" w:eastAsia="Titillium" w:hAnsi="Titillium" w:cs="Titillium"/>
          <w:color w:val="000000"/>
          <w:sz w:val="21"/>
          <w:szCs w:val="21"/>
        </w:rPr>
        <w:t xml:space="preserve"> nell’elenco dei fornitori, prestatori di servizi ed esecutori non soggetti a tentativo di infiltrazione mafiosa (c.d. white list) istituito presso la Prefettura della provincia di __________________________;</w:t>
      </w:r>
    </w:p>
    <w:p w14:paraId="76EB1694" w14:textId="77777777" w:rsidR="009F65FE" w:rsidRDefault="003929AB">
      <w:pPr>
        <w:pBdr>
          <w:top w:val="nil"/>
          <w:left w:val="nil"/>
          <w:bottom w:val="nil"/>
          <w:right w:val="nil"/>
          <w:between w:val="nil"/>
        </w:pBdr>
        <w:spacing w:line="276" w:lineRule="auto"/>
        <w:jc w:val="both"/>
        <w:rPr>
          <w:rFonts w:ascii="Titillium" w:eastAsia="Titillium" w:hAnsi="Titillium" w:cs="Titillium"/>
          <w:b/>
          <w:i/>
          <w:color w:val="000000"/>
          <w:sz w:val="21"/>
          <w:szCs w:val="21"/>
        </w:rPr>
      </w:pPr>
      <w:r>
        <w:rPr>
          <w:rFonts w:ascii="Titillium" w:eastAsia="Titillium" w:hAnsi="Titillium" w:cs="Titillium"/>
          <w:b/>
          <w:i/>
          <w:color w:val="000000"/>
          <w:sz w:val="21"/>
          <w:szCs w:val="21"/>
        </w:rPr>
        <w:t>ovvero</w:t>
      </w:r>
    </w:p>
    <w:p w14:paraId="33CE2DB1"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w:t>
      </w:r>
      <w:r>
        <w:rPr>
          <w:rFonts w:ascii="Titillium" w:eastAsia="Titillium" w:hAnsi="Titillium" w:cs="Titillium"/>
          <w:color w:val="000000"/>
          <w:sz w:val="21"/>
          <w:szCs w:val="21"/>
          <w:u w:val="single"/>
        </w:rPr>
        <w:t>di aver presentato in data</w:t>
      </w:r>
      <w:r>
        <w:rPr>
          <w:rFonts w:ascii="Titillium" w:eastAsia="Titillium" w:hAnsi="Titillium" w:cs="Titillium"/>
          <w:color w:val="000000"/>
          <w:sz w:val="21"/>
          <w:szCs w:val="21"/>
        </w:rPr>
        <w:t xml:space="preserve"> _______________ domanda di iscrizione nell’elenco dei fornitori, prestatori di servizi ed esecutori non soggetti a tentativo di infiltrazione mafiosa (c.d. white list) istituito presso la Prefettura della provincia di _______________________;</w:t>
      </w:r>
    </w:p>
    <w:p w14:paraId="07BBB7F2" w14:textId="77777777" w:rsidR="009F65FE" w:rsidRDefault="003929AB">
      <w:pPr>
        <w:pBdr>
          <w:top w:val="nil"/>
          <w:left w:val="nil"/>
          <w:bottom w:val="nil"/>
          <w:right w:val="nil"/>
          <w:between w:val="nil"/>
        </w:pBdr>
        <w:spacing w:line="276" w:lineRule="auto"/>
        <w:jc w:val="both"/>
        <w:rPr>
          <w:rFonts w:ascii="Titillium" w:eastAsia="Titillium" w:hAnsi="Titillium" w:cs="Titillium"/>
          <w:b/>
          <w:i/>
          <w:color w:val="000000"/>
          <w:sz w:val="21"/>
          <w:szCs w:val="21"/>
        </w:rPr>
      </w:pPr>
      <w:r>
        <w:rPr>
          <w:rFonts w:ascii="Titillium" w:eastAsia="Titillium" w:hAnsi="Titillium" w:cs="Titillium"/>
          <w:b/>
          <w:i/>
          <w:color w:val="000000"/>
          <w:sz w:val="21"/>
          <w:szCs w:val="21"/>
        </w:rPr>
        <w:t>ovvero</w:t>
      </w:r>
    </w:p>
    <w:p w14:paraId="478C6DD2"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Courier New" w:eastAsia="Courier New" w:hAnsi="Courier New" w:cs="Courier New"/>
          <w:b/>
          <w:color w:val="000000"/>
          <w:sz w:val="21"/>
          <w:szCs w:val="21"/>
        </w:rPr>
        <w:t>□</w:t>
      </w:r>
      <w:r>
        <w:rPr>
          <w:rFonts w:ascii="Titillium" w:eastAsia="Titillium" w:hAnsi="Titillium" w:cs="Titillium"/>
          <w:b/>
          <w:color w:val="000000"/>
          <w:sz w:val="21"/>
          <w:szCs w:val="21"/>
        </w:rPr>
        <w:t xml:space="preserve"> </w:t>
      </w:r>
      <w:r>
        <w:rPr>
          <w:rFonts w:ascii="Titillium" w:eastAsia="Titillium" w:hAnsi="Titillium" w:cs="Titillium"/>
          <w:color w:val="000000"/>
          <w:sz w:val="21"/>
          <w:szCs w:val="21"/>
          <w:u w:val="single"/>
        </w:rPr>
        <w:t>di non essere tenuto ad iscriversi</w:t>
      </w:r>
      <w:r>
        <w:rPr>
          <w:rFonts w:ascii="Titillium" w:eastAsia="Titillium" w:hAnsi="Titillium" w:cs="Titillium"/>
          <w:color w:val="000000"/>
          <w:sz w:val="21"/>
          <w:szCs w:val="21"/>
        </w:rPr>
        <w:t xml:space="preserve"> all’elenco dei fornitori, prestatori di servizi ed esecutori non soggetti a tentativo di infiltrazione mafiosa (c.d. white list);</w:t>
      </w:r>
    </w:p>
    <w:p w14:paraId="715DDFE3"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3962F60F"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[EVENTUALE nel caso di allegazione all’offerta telematica di copie conformi di documenti in formato elettronico, nei casi in cui tale modalità di copia sia ammessa]</w:t>
      </w:r>
    </w:p>
    <w:p w14:paraId="24867B30" w14:textId="77777777" w:rsidR="009F65FE" w:rsidRDefault="003929AB">
      <w:pPr>
        <w:pBdr>
          <w:top w:val="nil"/>
          <w:left w:val="nil"/>
          <w:bottom w:val="nil"/>
          <w:right w:val="nil"/>
          <w:between w:val="nil"/>
        </w:pBdr>
        <w:spacing w:line="276" w:lineRule="auto"/>
        <w:jc w:val="both"/>
        <w:rPr>
          <w:rFonts w:ascii="Titillium" w:eastAsia="Titillium" w:hAnsi="Titillium" w:cs="Titillium"/>
          <w:color w:val="000000"/>
          <w:sz w:val="21"/>
          <w:szCs w:val="21"/>
        </w:rPr>
      </w:pPr>
      <w:r>
        <w:rPr>
          <w:rFonts w:ascii="Titillium" w:eastAsia="Titillium" w:hAnsi="Titillium" w:cs="Titillium"/>
          <w:color w:val="000000"/>
          <w:sz w:val="21"/>
          <w:szCs w:val="21"/>
        </w:rPr>
        <w:t>che le copie di tutti i documenti allegati all’offerta in formato elettronico sono state formate a norma dell’art. 22, co</w:t>
      </w:r>
      <w:r>
        <w:rPr>
          <w:rFonts w:ascii="Titillium" w:eastAsia="Titillium" w:hAnsi="Titillium" w:cs="Titillium"/>
          <w:sz w:val="21"/>
          <w:szCs w:val="21"/>
        </w:rPr>
        <w:t>mma</w:t>
      </w:r>
      <w:r>
        <w:rPr>
          <w:rFonts w:ascii="Titillium" w:eastAsia="Titillium" w:hAnsi="Titillium" w:cs="Titillium"/>
          <w:color w:val="000000"/>
          <w:sz w:val="21"/>
          <w:szCs w:val="21"/>
        </w:rPr>
        <w:t xml:space="preserve"> 3, del </w:t>
      </w:r>
      <w:r>
        <w:rPr>
          <w:rFonts w:ascii="Titillium" w:eastAsia="Titillium" w:hAnsi="Titillium" w:cs="Titillium"/>
          <w:sz w:val="21"/>
          <w:szCs w:val="21"/>
        </w:rPr>
        <w:t>D</w:t>
      </w:r>
      <w:r>
        <w:rPr>
          <w:rFonts w:ascii="Titillium" w:eastAsia="Titillium" w:hAnsi="Titillium" w:cs="Titillium"/>
          <w:color w:val="000000"/>
          <w:sz w:val="21"/>
          <w:szCs w:val="21"/>
        </w:rPr>
        <w:t xml:space="preserve">. lgs. n. 82/2005 </w:t>
      </w:r>
      <w:r>
        <w:rPr>
          <w:rFonts w:ascii="Titillium" w:eastAsia="Titillium" w:hAnsi="Titillium" w:cs="Titillium"/>
          <w:i/>
          <w:color w:val="000000"/>
          <w:sz w:val="21"/>
          <w:szCs w:val="21"/>
        </w:rPr>
        <w:t>(Copie informatiche di documenti analogici)</w:t>
      </w:r>
      <w:r>
        <w:rPr>
          <w:rFonts w:ascii="Titillium" w:eastAsia="Titillium" w:hAnsi="Titillium" w:cs="Titillium"/>
          <w:color w:val="000000"/>
          <w:sz w:val="21"/>
          <w:szCs w:val="21"/>
        </w:rPr>
        <w:t xml:space="preserve"> e/o dell’art. 23-bis del d.lgs. 82/2005 </w:t>
      </w:r>
      <w:r>
        <w:rPr>
          <w:rFonts w:ascii="Titillium" w:eastAsia="Titillium" w:hAnsi="Titillium" w:cs="Titillium"/>
          <w:i/>
          <w:color w:val="000000"/>
          <w:sz w:val="21"/>
          <w:szCs w:val="21"/>
        </w:rPr>
        <w:t>(Duplicati e copie informatiche di documenti informatici</w:t>
      </w:r>
      <w:r>
        <w:rPr>
          <w:rFonts w:ascii="Titillium" w:eastAsia="Titillium" w:hAnsi="Titillium" w:cs="Titillium"/>
          <w:color w:val="000000"/>
          <w:sz w:val="21"/>
          <w:szCs w:val="21"/>
        </w:rPr>
        <w:t xml:space="preserve">) e nel rispetto delle regole tecniche di cui all’art. 71 del medesimo </w:t>
      </w:r>
      <w:r>
        <w:rPr>
          <w:rFonts w:ascii="Titillium" w:eastAsia="Titillium" w:hAnsi="Titillium" w:cs="Titillium"/>
          <w:sz w:val="21"/>
          <w:szCs w:val="21"/>
        </w:rPr>
        <w:t>D</w:t>
      </w:r>
      <w:r>
        <w:rPr>
          <w:rFonts w:ascii="Titillium" w:eastAsia="Titillium" w:hAnsi="Titillium" w:cs="Titillium"/>
          <w:color w:val="000000"/>
          <w:sz w:val="21"/>
          <w:szCs w:val="21"/>
        </w:rPr>
        <w:t>. lgs. n. 82/2005;</w:t>
      </w:r>
    </w:p>
    <w:p w14:paraId="56309CD4" w14:textId="77777777" w:rsidR="009F65FE" w:rsidRDefault="009F65FE">
      <w:pPr>
        <w:pBdr>
          <w:top w:val="nil"/>
          <w:left w:val="nil"/>
          <w:bottom w:val="nil"/>
          <w:right w:val="nil"/>
          <w:between w:val="nil"/>
        </w:pBdr>
        <w:rPr>
          <w:rFonts w:ascii="Titillium" w:eastAsia="Titillium" w:hAnsi="Titillium" w:cs="Titillium"/>
          <w:color w:val="000000"/>
          <w:sz w:val="21"/>
          <w:szCs w:val="21"/>
        </w:rPr>
      </w:pPr>
      <w:bookmarkStart w:id="10" w:name="_heading=h.2et92p0" w:colFirst="0" w:colLast="0"/>
      <w:bookmarkEnd w:id="10"/>
    </w:p>
    <w:p w14:paraId="21FD5A4B" w14:textId="77777777" w:rsidR="009F65FE" w:rsidRDefault="009F65FE">
      <w:pPr>
        <w:pBdr>
          <w:top w:val="nil"/>
          <w:left w:val="nil"/>
          <w:bottom w:val="nil"/>
          <w:right w:val="nil"/>
          <w:between w:val="nil"/>
        </w:pBdr>
        <w:ind w:left="567"/>
        <w:rPr>
          <w:rFonts w:ascii="Titillium" w:eastAsia="Titillium" w:hAnsi="Titillium" w:cs="Titillium"/>
          <w:sz w:val="21"/>
          <w:szCs w:val="21"/>
        </w:rPr>
      </w:pPr>
      <w:bookmarkStart w:id="11" w:name="_heading=h.erknvbkihl2g" w:colFirst="0" w:colLast="0"/>
      <w:bookmarkEnd w:id="11"/>
    </w:p>
    <w:p w14:paraId="0F7DAA98"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essere in regola</w:t>
      </w:r>
      <w:r>
        <w:rPr>
          <w:rFonts w:ascii="Titillium" w:eastAsia="Titillium" w:hAnsi="Titillium" w:cs="Titillium"/>
          <w:color w:val="000000"/>
          <w:sz w:val="21"/>
          <w:szCs w:val="21"/>
        </w:rPr>
        <w:t xml:space="preserve"> con le norme che disciplinano il diritto al lavoro dei disabili di cui alla L. n. 68/1999</w:t>
      </w:r>
      <w:r>
        <w:rPr>
          <w:rFonts w:ascii="Titillium" w:eastAsia="Titillium" w:hAnsi="Titillium" w:cs="Titillium"/>
          <w:b/>
          <w:sz w:val="21"/>
          <w:szCs w:val="21"/>
          <w:vertAlign w:val="superscript"/>
        </w:rPr>
        <w:footnoteReference w:id="5"/>
      </w:r>
      <w:r>
        <w:rPr>
          <w:rFonts w:ascii="Titillium" w:eastAsia="Titillium" w:hAnsi="Titillium" w:cs="Titillium"/>
          <w:sz w:val="21"/>
          <w:szCs w:val="21"/>
        </w:rPr>
        <w:t xml:space="preserve"> </w:t>
      </w:r>
      <w:r>
        <w:rPr>
          <w:rFonts w:ascii="Titillium" w:eastAsia="Titillium" w:hAnsi="Titillium" w:cs="Titillium"/>
          <w:color w:val="000000"/>
          <w:sz w:val="21"/>
          <w:szCs w:val="21"/>
        </w:rPr>
        <w:t>(</w:t>
      </w:r>
      <w:r>
        <w:rPr>
          <w:rFonts w:ascii="Titillium" w:eastAsia="Titillium" w:hAnsi="Titillium" w:cs="Titillium"/>
          <w:i/>
          <w:color w:val="000000"/>
          <w:sz w:val="21"/>
          <w:szCs w:val="21"/>
        </w:rPr>
        <w:t>Norme per il diritto al lavoro dei disabili</w:t>
      </w:r>
      <w:r>
        <w:rPr>
          <w:rFonts w:ascii="Titillium" w:eastAsia="Titillium" w:hAnsi="Titillium" w:cs="Titillium"/>
          <w:color w:val="000000"/>
          <w:sz w:val="21"/>
          <w:szCs w:val="21"/>
        </w:rPr>
        <w:t xml:space="preserve">); </w:t>
      </w:r>
    </w:p>
    <w:p w14:paraId="6306374C"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008453A7"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6F89D680"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b/>
          <w:color w:val="000000"/>
          <w:sz w:val="21"/>
          <w:szCs w:val="21"/>
        </w:rPr>
        <w:t>di occupare</w:t>
      </w:r>
      <w:r>
        <w:rPr>
          <w:rFonts w:ascii="Titillium" w:eastAsia="Titillium" w:hAnsi="Titillium" w:cs="Titillium"/>
          <w:color w:val="000000"/>
          <w:sz w:val="21"/>
          <w:szCs w:val="21"/>
        </w:rPr>
        <w:t xml:space="preserve"> un numero pari a ____ Dipendenti;</w:t>
      </w:r>
    </w:p>
    <w:p w14:paraId="15F6EC7B"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3CDAF2FD"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Che il “</w:t>
      </w:r>
      <w:r>
        <w:rPr>
          <w:rFonts w:ascii="Titillium" w:eastAsia="Titillium" w:hAnsi="Titillium" w:cs="Titillium"/>
          <w:b/>
          <w:color w:val="000000"/>
          <w:sz w:val="21"/>
          <w:szCs w:val="21"/>
        </w:rPr>
        <w:t>Titolare effettivo</w:t>
      </w:r>
      <w:r>
        <w:rPr>
          <w:rFonts w:ascii="Titillium" w:eastAsia="Titillium" w:hAnsi="Titillium" w:cs="Titillium"/>
          <w:color w:val="000000"/>
          <w:sz w:val="21"/>
          <w:szCs w:val="21"/>
        </w:rPr>
        <w:t>”</w:t>
      </w:r>
      <w:r>
        <w:rPr>
          <w:rFonts w:ascii="Titillium" w:eastAsia="Titillium" w:hAnsi="Titillium" w:cs="Titillium"/>
          <w:b/>
          <w:sz w:val="21"/>
          <w:szCs w:val="21"/>
          <w:vertAlign w:val="superscript"/>
        </w:rPr>
        <w:footnoteReference w:id="6"/>
      </w:r>
      <w:r>
        <w:rPr>
          <w:rFonts w:ascii="Titillium" w:eastAsia="Titillium" w:hAnsi="Titillium" w:cs="Titillium"/>
          <w:color w:val="000000"/>
          <w:sz w:val="21"/>
          <w:szCs w:val="21"/>
        </w:rPr>
        <w:t xml:space="preserve"> </w:t>
      </w:r>
      <w:r>
        <w:rPr>
          <w:rFonts w:ascii="Titillium" w:eastAsia="Titillium" w:hAnsi="Titillium" w:cs="Titillium"/>
          <w:i/>
          <w:color w:val="000000"/>
          <w:sz w:val="21"/>
          <w:szCs w:val="21"/>
        </w:rPr>
        <w:t>ex</w:t>
      </w:r>
      <w:r>
        <w:rPr>
          <w:rFonts w:ascii="Titillium" w:eastAsia="Titillium" w:hAnsi="Titillium" w:cs="Titillium"/>
          <w:color w:val="000000"/>
          <w:sz w:val="21"/>
          <w:szCs w:val="21"/>
        </w:rPr>
        <w:t xml:space="preserve"> art. 22 Reg. UE n. 2021/241 in base al criterio di seguito evidenziato è ____________ nato/a a___________ il _______ a _______ C. F. __________ Residente ___________</w:t>
      </w:r>
    </w:p>
    <w:p w14:paraId="36A8B89D"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color w:val="000000"/>
          <w:sz w:val="21"/>
          <w:szCs w:val="21"/>
        </w:rPr>
      </w:pPr>
      <w:r>
        <w:rPr>
          <w:rFonts w:ascii="Titillium" w:eastAsia="Titillium" w:hAnsi="Titillium" w:cs="Titillium"/>
          <w:b/>
          <w:color w:val="000000"/>
          <w:sz w:val="21"/>
          <w:szCs w:val="21"/>
        </w:rPr>
        <w:t>Perché:</w:t>
      </w:r>
      <w:r>
        <w:rPr>
          <w:rFonts w:ascii="Titillium" w:eastAsia="Titillium" w:hAnsi="Titillium" w:cs="Titillium"/>
          <w:i/>
          <w:color w:val="000000"/>
          <w:sz w:val="21"/>
          <w:szCs w:val="21"/>
        </w:rPr>
        <w:t xml:space="preserve"> [</w:t>
      </w:r>
      <w:r>
        <w:rPr>
          <w:rFonts w:ascii="Titillium" w:eastAsia="Titillium" w:hAnsi="Titillium" w:cs="Titillium"/>
          <w:i/>
          <w:color w:val="000000"/>
          <w:sz w:val="21"/>
          <w:szCs w:val="21"/>
          <w:u w:val="single"/>
        </w:rPr>
        <w:t>compilare la sezione di interesse</w:t>
      </w:r>
      <w:r>
        <w:rPr>
          <w:rFonts w:ascii="Titillium" w:eastAsia="Titillium" w:hAnsi="Titillium" w:cs="Titillium"/>
          <w:i/>
          <w:color w:val="000000"/>
          <w:sz w:val="21"/>
          <w:szCs w:val="21"/>
        </w:rPr>
        <w:t>]</w:t>
      </w:r>
    </w:p>
    <w:p w14:paraId="01BF3DAC"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color w:val="000000"/>
          <w:sz w:val="21"/>
          <w:szCs w:val="21"/>
        </w:rPr>
      </w:pPr>
      <w:r>
        <w:rPr>
          <w:rFonts w:ascii="Courier New" w:eastAsia="Courier New" w:hAnsi="Courier New" w:cs="Courier New"/>
          <w:i/>
          <w:color w:val="000000"/>
          <w:sz w:val="21"/>
          <w:szCs w:val="21"/>
        </w:rPr>
        <w:t>□</w:t>
      </w:r>
      <w:r>
        <w:rPr>
          <w:rFonts w:ascii="Titillium" w:eastAsia="Titillium" w:hAnsi="Titillium" w:cs="Titillium"/>
          <w:i/>
          <w:color w:val="000000"/>
          <w:sz w:val="21"/>
          <w:szCs w:val="21"/>
        </w:rPr>
        <w:t xml:space="preserve"> in possesso una partecipazione superiore al 25% del capitale sociale (</w:t>
      </w:r>
      <w:r>
        <w:rPr>
          <w:rFonts w:ascii="Titillium" w:eastAsia="Titillium" w:hAnsi="Titillium" w:cs="Titillium"/>
          <w:i/>
          <w:color w:val="000000"/>
          <w:sz w:val="21"/>
          <w:szCs w:val="21"/>
          <w:u w:val="single"/>
        </w:rPr>
        <w:t>indicare la quota di partecipazione</w:t>
      </w:r>
      <w:r>
        <w:rPr>
          <w:rFonts w:ascii="Titillium" w:eastAsia="Titillium" w:hAnsi="Titillium" w:cs="Titillium"/>
          <w:i/>
          <w:color w:val="000000"/>
          <w:sz w:val="21"/>
          <w:szCs w:val="21"/>
        </w:rPr>
        <w:t>) __________________________________________________________________________</w:t>
      </w:r>
    </w:p>
    <w:p w14:paraId="20ADB2C6"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color w:val="000000"/>
          <w:sz w:val="21"/>
          <w:szCs w:val="21"/>
        </w:rPr>
      </w:pPr>
      <w:r>
        <w:rPr>
          <w:rFonts w:ascii="Courier New" w:eastAsia="Courier New" w:hAnsi="Courier New" w:cs="Courier New"/>
          <w:i/>
          <w:color w:val="000000"/>
          <w:sz w:val="21"/>
          <w:szCs w:val="21"/>
        </w:rPr>
        <w:t>□</w:t>
      </w:r>
      <w:r>
        <w:rPr>
          <w:rFonts w:ascii="Titillium" w:eastAsia="Titillium" w:hAnsi="Titillium" w:cs="Titillium"/>
          <w:i/>
          <w:color w:val="000000"/>
          <w:sz w:val="21"/>
          <w:szCs w:val="21"/>
        </w:rPr>
        <w:t xml:space="preserve"> in possesso della maggioranza dei voti, ovvero in conseguenza di altri vincoli contrattuali [</w:t>
      </w:r>
      <w:r>
        <w:rPr>
          <w:rFonts w:ascii="Titillium" w:eastAsia="Titillium" w:hAnsi="Titillium" w:cs="Titillium"/>
          <w:i/>
          <w:color w:val="000000"/>
          <w:sz w:val="21"/>
          <w:szCs w:val="21"/>
          <w:u w:val="single"/>
        </w:rPr>
        <w:t>specificare la circostanza</w:t>
      </w:r>
      <w:r>
        <w:rPr>
          <w:rFonts w:ascii="Titillium" w:eastAsia="Titillium" w:hAnsi="Titillium" w:cs="Titillium"/>
          <w:i/>
          <w:color w:val="000000"/>
          <w:sz w:val="21"/>
          <w:szCs w:val="21"/>
        </w:rPr>
        <w:t>] ________________________________________________________________</w:t>
      </w:r>
    </w:p>
    <w:p w14:paraId="42B00DC1"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color w:val="000000"/>
          <w:sz w:val="21"/>
          <w:szCs w:val="21"/>
        </w:rPr>
      </w:pPr>
      <w:r>
        <w:rPr>
          <w:rFonts w:ascii="Courier New" w:eastAsia="Courier New" w:hAnsi="Courier New" w:cs="Courier New"/>
          <w:i/>
          <w:color w:val="000000"/>
          <w:sz w:val="21"/>
          <w:szCs w:val="21"/>
        </w:rPr>
        <w:t>□</w:t>
      </w:r>
      <w:r>
        <w:rPr>
          <w:rFonts w:ascii="Titillium" w:eastAsia="Titillium" w:hAnsi="Titillium" w:cs="Titillium"/>
          <w:i/>
          <w:color w:val="000000"/>
          <w:sz w:val="21"/>
          <w:szCs w:val="21"/>
        </w:rPr>
        <w:t xml:space="preserve"> esercita poteri di amministrazione o direzione della società [</w:t>
      </w:r>
      <w:r>
        <w:rPr>
          <w:rFonts w:ascii="Titillium" w:eastAsia="Titillium" w:hAnsi="Titillium" w:cs="Titillium"/>
          <w:i/>
          <w:color w:val="000000"/>
          <w:sz w:val="21"/>
          <w:szCs w:val="21"/>
          <w:u w:val="single"/>
        </w:rPr>
        <w:t>specificare la circostanza</w:t>
      </w:r>
      <w:r>
        <w:rPr>
          <w:rFonts w:ascii="Titillium" w:eastAsia="Titillium" w:hAnsi="Titillium" w:cs="Titillium"/>
          <w:i/>
          <w:color w:val="000000"/>
          <w:sz w:val="21"/>
          <w:szCs w:val="21"/>
        </w:rPr>
        <w:t>]</w:t>
      </w:r>
    </w:p>
    <w:p w14:paraId="770C7BF4"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color w:val="000000"/>
          <w:sz w:val="21"/>
          <w:szCs w:val="21"/>
        </w:rPr>
      </w:pPr>
      <w:r>
        <w:rPr>
          <w:rFonts w:ascii="Titillium" w:eastAsia="Titillium" w:hAnsi="Titillium" w:cs="Titillium"/>
          <w:i/>
          <w:color w:val="000000"/>
          <w:sz w:val="21"/>
          <w:szCs w:val="21"/>
        </w:rPr>
        <w:t>____________________________________________________________________</w:t>
      </w:r>
    </w:p>
    <w:p w14:paraId="34FC2D7D" w14:textId="77777777" w:rsidR="009F65FE" w:rsidRDefault="009F65FE">
      <w:pPr>
        <w:pBdr>
          <w:top w:val="nil"/>
          <w:left w:val="nil"/>
          <w:bottom w:val="nil"/>
          <w:right w:val="nil"/>
          <w:between w:val="nil"/>
        </w:pBdr>
        <w:spacing w:line="276" w:lineRule="auto"/>
        <w:jc w:val="both"/>
        <w:rPr>
          <w:rFonts w:ascii="Titillium" w:eastAsia="Titillium" w:hAnsi="Titillium" w:cs="Titillium"/>
          <w:color w:val="000000"/>
          <w:sz w:val="21"/>
          <w:szCs w:val="21"/>
        </w:rPr>
      </w:pPr>
    </w:p>
    <w:p w14:paraId="4969D2FA"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color w:val="000000"/>
          <w:sz w:val="21"/>
          <w:szCs w:val="21"/>
        </w:rPr>
      </w:pPr>
      <w:r>
        <w:rPr>
          <w:rFonts w:ascii="Titillium" w:eastAsia="Titillium" w:hAnsi="Titillium" w:cs="Titillium"/>
          <w:color w:val="000000"/>
          <w:sz w:val="21"/>
          <w:szCs w:val="21"/>
        </w:rPr>
        <w:t xml:space="preserve">che </w:t>
      </w:r>
      <w:r>
        <w:rPr>
          <w:rFonts w:ascii="Titillium" w:eastAsia="Titillium" w:hAnsi="Titillium" w:cs="Titillium"/>
          <w:b/>
          <w:color w:val="000000"/>
          <w:sz w:val="21"/>
          <w:szCs w:val="21"/>
        </w:rPr>
        <w:t>assumono il ruolo di “Titolari effettivi”</w:t>
      </w:r>
      <w:r>
        <w:rPr>
          <w:rFonts w:ascii="Titillium" w:eastAsia="Titillium" w:hAnsi="Titillium" w:cs="Titillium"/>
          <w:color w:val="000000"/>
          <w:sz w:val="21"/>
          <w:szCs w:val="21"/>
        </w:rPr>
        <w:t xml:space="preserve"> ex art. 22 Reg. 241/2021 anche i seguenti soggetti: </w:t>
      </w:r>
    </w:p>
    <w:p w14:paraId="7BCF8DFE" w14:textId="77777777" w:rsidR="009F65FE" w:rsidRDefault="003929AB">
      <w:pPr>
        <w:numPr>
          <w:ilvl w:val="0"/>
          <w:numId w:val="2"/>
        </w:numPr>
        <w:pBdr>
          <w:top w:val="nil"/>
          <w:left w:val="nil"/>
          <w:bottom w:val="nil"/>
          <w:right w:val="nil"/>
          <w:between w:val="nil"/>
        </w:pBdr>
        <w:tabs>
          <w:tab w:val="left" w:pos="567"/>
          <w:tab w:val="right" w:pos="9072"/>
        </w:tabs>
        <w:spacing w:line="276" w:lineRule="auto"/>
        <w:rPr>
          <w:rFonts w:ascii="Titillium" w:eastAsia="Titillium" w:hAnsi="Titillium" w:cs="Titillium"/>
          <w:color w:val="000000"/>
          <w:sz w:val="21"/>
          <w:szCs w:val="21"/>
        </w:rPr>
      </w:pPr>
      <w:bookmarkStart w:id="12" w:name="_heading=h.3rdcrjn" w:colFirst="0" w:colLast="0"/>
      <w:bookmarkEnd w:id="12"/>
      <w:r>
        <w:rPr>
          <w:rFonts w:ascii="Titillium" w:eastAsia="Titillium" w:hAnsi="Titillium" w:cs="Titillium"/>
          <w:color w:val="000000"/>
          <w:sz w:val="21"/>
          <w:szCs w:val="21"/>
        </w:rPr>
        <w:t>Cognome e Nome ______________ Luogo di nascita _____________ Data di nascita _______ Codice Fiscale: ______________ Residenza _____________</w:t>
      </w:r>
    </w:p>
    <w:p w14:paraId="64874CEC" w14:textId="77777777" w:rsidR="009F65FE" w:rsidRDefault="003929AB">
      <w:pPr>
        <w:numPr>
          <w:ilvl w:val="0"/>
          <w:numId w:val="2"/>
        </w:numPr>
        <w:pBdr>
          <w:top w:val="nil"/>
          <w:left w:val="nil"/>
          <w:bottom w:val="nil"/>
          <w:right w:val="nil"/>
          <w:between w:val="nil"/>
        </w:pBdr>
        <w:tabs>
          <w:tab w:val="left" w:pos="567"/>
          <w:tab w:val="right" w:pos="9072"/>
        </w:tabs>
        <w:spacing w:line="276" w:lineRule="auto"/>
        <w:rPr>
          <w:rFonts w:ascii="Titillium" w:eastAsia="Titillium" w:hAnsi="Titillium" w:cs="Titillium"/>
          <w:color w:val="000000"/>
          <w:sz w:val="21"/>
          <w:szCs w:val="21"/>
        </w:rPr>
      </w:pPr>
      <w:r>
        <w:rPr>
          <w:rFonts w:ascii="Titillium" w:eastAsia="Titillium" w:hAnsi="Titillium" w:cs="Titillium"/>
          <w:color w:val="000000"/>
          <w:sz w:val="21"/>
          <w:szCs w:val="21"/>
        </w:rPr>
        <w:t>Cognome e Nome ______________ Luogo di nascita _____________ Data di nascita _______ Codice Fiscale: ______________ Residenza _____________</w:t>
      </w:r>
    </w:p>
    <w:p w14:paraId="359ED91E"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sz w:val="21"/>
          <w:szCs w:val="21"/>
        </w:rPr>
      </w:pPr>
      <w:r>
        <w:rPr>
          <w:rFonts w:ascii="Titillium" w:eastAsia="Titillium" w:hAnsi="Titillium" w:cs="Titillium"/>
          <w:i/>
          <w:sz w:val="21"/>
          <w:szCs w:val="21"/>
        </w:rPr>
        <w:t>[ripetere per ogni Titolare effettivo]</w:t>
      </w:r>
    </w:p>
    <w:p w14:paraId="29FC3681" w14:textId="77777777" w:rsidR="009F65FE" w:rsidRDefault="009F65FE">
      <w:pPr>
        <w:pBdr>
          <w:top w:val="nil"/>
          <w:left w:val="nil"/>
          <w:bottom w:val="nil"/>
          <w:right w:val="nil"/>
          <w:between w:val="nil"/>
        </w:pBdr>
        <w:tabs>
          <w:tab w:val="left" w:pos="567"/>
          <w:tab w:val="right" w:pos="9072"/>
        </w:tabs>
        <w:spacing w:line="276" w:lineRule="auto"/>
        <w:rPr>
          <w:rFonts w:ascii="Titillium" w:eastAsia="Titillium" w:hAnsi="Titillium" w:cs="Titillium"/>
          <w:sz w:val="21"/>
          <w:szCs w:val="21"/>
        </w:rPr>
      </w:pPr>
    </w:p>
    <w:p w14:paraId="4BC3CE33" w14:textId="77777777" w:rsidR="009F65FE" w:rsidRDefault="003929AB">
      <w:pPr>
        <w:numPr>
          <w:ilvl w:val="0"/>
          <w:numId w:val="4"/>
        </w:numPr>
        <w:pBdr>
          <w:top w:val="nil"/>
          <w:left w:val="nil"/>
          <w:bottom w:val="nil"/>
          <w:right w:val="nil"/>
          <w:between w:val="nil"/>
        </w:pBdr>
        <w:spacing w:line="276" w:lineRule="auto"/>
        <w:ind w:left="0"/>
        <w:jc w:val="both"/>
        <w:rPr>
          <w:rFonts w:ascii="Titillium" w:eastAsia="Titillium" w:hAnsi="Titillium" w:cs="Titillium"/>
          <w:sz w:val="21"/>
          <w:szCs w:val="21"/>
        </w:rPr>
      </w:pPr>
      <w:bookmarkStart w:id="13" w:name="_heading=h.26in1rg" w:colFirst="0" w:colLast="0"/>
      <w:bookmarkEnd w:id="13"/>
      <w:r>
        <w:rPr>
          <w:rFonts w:ascii="Titillium" w:eastAsia="Titillium" w:hAnsi="Titillium" w:cs="Titillium"/>
          <w:color w:val="000000"/>
          <w:sz w:val="21"/>
          <w:szCs w:val="21"/>
        </w:rPr>
        <w:t xml:space="preserve">che il/i Titolare/i Effettivo/i individuati si impegna/no a comunicare, rispetto agli elementi forniti in corso di gara, ogni successiva modifica ai fini dell’identificazione relativa al/ai titolare/i effettivo/i dell’Operatore economico. </w:t>
      </w:r>
    </w:p>
    <w:p w14:paraId="31CA647A" w14:textId="77777777" w:rsidR="009F65FE" w:rsidRDefault="009F65FE">
      <w:pPr>
        <w:pBdr>
          <w:top w:val="nil"/>
          <w:left w:val="nil"/>
          <w:bottom w:val="nil"/>
          <w:right w:val="nil"/>
          <w:between w:val="nil"/>
        </w:pBdr>
        <w:spacing w:line="276" w:lineRule="auto"/>
        <w:jc w:val="both"/>
        <w:rPr>
          <w:rFonts w:ascii="Titillium" w:eastAsia="Titillium" w:hAnsi="Titillium" w:cs="Titillium"/>
          <w:sz w:val="21"/>
          <w:szCs w:val="21"/>
        </w:rPr>
      </w:pPr>
    </w:p>
    <w:p w14:paraId="3C7D7004" w14:textId="77777777" w:rsidR="009F65FE" w:rsidRDefault="009F65FE">
      <w:pPr>
        <w:pBdr>
          <w:top w:val="nil"/>
          <w:left w:val="nil"/>
          <w:bottom w:val="nil"/>
          <w:right w:val="nil"/>
          <w:between w:val="nil"/>
        </w:pBdr>
        <w:spacing w:line="276" w:lineRule="auto"/>
        <w:jc w:val="both"/>
        <w:rPr>
          <w:rFonts w:ascii="Titillium" w:eastAsia="Titillium" w:hAnsi="Titillium" w:cs="Titillium"/>
          <w:sz w:val="21"/>
          <w:szCs w:val="21"/>
        </w:rPr>
      </w:pPr>
    </w:p>
    <w:p w14:paraId="333F1F2C" w14:textId="77777777" w:rsidR="009F65FE" w:rsidRDefault="003929AB">
      <w:pPr>
        <w:pBdr>
          <w:top w:val="nil"/>
          <w:left w:val="nil"/>
          <w:bottom w:val="nil"/>
          <w:right w:val="nil"/>
          <w:between w:val="nil"/>
        </w:pBdr>
        <w:spacing w:line="276" w:lineRule="auto"/>
        <w:jc w:val="both"/>
        <w:rPr>
          <w:rFonts w:ascii="Titillium" w:eastAsia="Titillium" w:hAnsi="Titillium" w:cs="Titillium"/>
          <w:sz w:val="21"/>
          <w:szCs w:val="21"/>
        </w:rPr>
      </w:pPr>
      <w:r>
        <w:rPr>
          <w:rFonts w:ascii="Titillium" w:eastAsia="Titillium" w:hAnsi="Titillium" w:cs="Titillium"/>
          <w:sz w:val="21"/>
          <w:szCs w:val="21"/>
        </w:rPr>
        <w:t xml:space="preserve">Luogo e data </w:t>
      </w:r>
    </w:p>
    <w:p w14:paraId="179BAD09" w14:textId="77777777" w:rsidR="009F65FE" w:rsidRDefault="003929AB">
      <w:pPr>
        <w:pBdr>
          <w:top w:val="nil"/>
          <w:left w:val="nil"/>
          <w:bottom w:val="nil"/>
          <w:right w:val="nil"/>
          <w:between w:val="nil"/>
        </w:pBdr>
        <w:tabs>
          <w:tab w:val="left" w:pos="567"/>
          <w:tab w:val="right" w:pos="9072"/>
        </w:tabs>
        <w:spacing w:line="276" w:lineRule="auto"/>
        <w:rPr>
          <w:rFonts w:ascii="Titillium" w:eastAsia="Titillium" w:hAnsi="Titillium" w:cs="Titillium"/>
          <w:i/>
          <w:sz w:val="21"/>
          <w:szCs w:val="21"/>
        </w:rPr>
      </w:pPr>
      <w:r>
        <w:rPr>
          <w:rFonts w:ascii="Titillium" w:eastAsia="Titillium" w:hAnsi="Titillium" w:cs="Titillium"/>
          <w:sz w:val="21"/>
          <w:szCs w:val="21"/>
        </w:rPr>
        <w:tab/>
      </w:r>
      <w:r>
        <w:rPr>
          <w:rFonts w:ascii="Titillium" w:eastAsia="Titillium" w:hAnsi="Titillium" w:cs="Titillium"/>
          <w:sz w:val="21"/>
          <w:szCs w:val="21"/>
        </w:rPr>
        <w:tab/>
      </w:r>
      <w:r>
        <w:rPr>
          <w:rFonts w:ascii="Titillium" w:eastAsia="Titillium" w:hAnsi="Titillium" w:cs="Titillium"/>
          <w:i/>
          <w:sz w:val="21"/>
          <w:szCs w:val="21"/>
        </w:rPr>
        <w:t>Firma elettronica qualificata/Firma digitale</w:t>
      </w:r>
    </w:p>
    <w:p w14:paraId="4A49E1C6" w14:textId="77777777" w:rsidR="009F65FE" w:rsidRDefault="009F65FE">
      <w:pPr>
        <w:pBdr>
          <w:top w:val="nil"/>
          <w:left w:val="nil"/>
          <w:bottom w:val="nil"/>
          <w:right w:val="nil"/>
          <w:between w:val="nil"/>
        </w:pBdr>
        <w:tabs>
          <w:tab w:val="left" w:pos="567"/>
          <w:tab w:val="right" w:pos="9072"/>
        </w:tabs>
        <w:spacing w:after="120" w:line="276" w:lineRule="auto"/>
        <w:ind w:left="720"/>
        <w:rPr>
          <w:rFonts w:ascii="Titillium" w:eastAsia="Titillium" w:hAnsi="Titillium" w:cs="Titillium"/>
          <w:sz w:val="21"/>
          <w:szCs w:val="21"/>
        </w:rPr>
      </w:pPr>
    </w:p>
    <w:p w14:paraId="0F6748EB" w14:textId="77777777" w:rsidR="009F65FE" w:rsidRDefault="009F65FE">
      <w:pPr>
        <w:pBdr>
          <w:top w:val="nil"/>
          <w:left w:val="nil"/>
          <w:bottom w:val="nil"/>
          <w:right w:val="nil"/>
          <w:between w:val="nil"/>
        </w:pBdr>
        <w:tabs>
          <w:tab w:val="left" w:pos="567"/>
          <w:tab w:val="right" w:pos="9072"/>
        </w:tabs>
        <w:spacing w:after="120" w:line="276" w:lineRule="auto"/>
        <w:rPr>
          <w:rFonts w:ascii="Titillium" w:eastAsia="Titillium" w:hAnsi="Titillium" w:cs="Titillium"/>
          <w:sz w:val="21"/>
          <w:szCs w:val="21"/>
        </w:rPr>
      </w:pPr>
    </w:p>
    <w:p w14:paraId="086506A3" w14:textId="77777777" w:rsidR="009F65FE" w:rsidRDefault="009F65FE">
      <w:pPr>
        <w:pBdr>
          <w:top w:val="nil"/>
          <w:left w:val="nil"/>
          <w:bottom w:val="nil"/>
          <w:right w:val="nil"/>
          <w:between w:val="nil"/>
        </w:pBdr>
        <w:tabs>
          <w:tab w:val="left" w:pos="567"/>
          <w:tab w:val="right" w:pos="9072"/>
        </w:tabs>
        <w:spacing w:after="120" w:line="276" w:lineRule="auto"/>
        <w:rPr>
          <w:rFonts w:ascii="Titillium" w:eastAsia="Titillium" w:hAnsi="Titillium" w:cs="Titillium"/>
          <w:sz w:val="21"/>
          <w:szCs w:val="21"/>
        </w:rPr>
      </w:pPr>
    </w:p>
    <w:p w14:paraId="26BC5596" w14:textId="77777777" w:rsidR="009F65FE" w:rsidRDefault="009F65FE">
      <w:pPr>
        <w:pBdr>
          <w:top w:val="nil"/>
          <w:left w:val="nil"/>
          <w:bottom w:val="nil"/>
          <w:right w:val="nil"/>
          <w:between w:val="nil"/>
        </w:pBdr>
        <w:tabs>
          <w:tab w:val="left" w:pos="567"/>
          <w:tab w:val="right" w:pos="9072"/>
        </w:tabs>
        <w:spacing w:line="276" w:lineRule="auto"/>
        <w:rPr>
          <w:rFonts w:ascii="Titillium" w:eastAsia="Titillium" w:hAnsi="Titillium" w:cs="Titillium"/>
          <w:color w:val="000000"/>
          <w:sz w:val="21"/>
          <w:szCs w:val="21"/>
        </w:rPr>
      </w:pPr>
    </w:p>
    <w:sectPr w:rsidR="009F65FE" w:rsidSect="003929AB">
      <w:headerReference w:type="even" r:id="rId9"/>
      <w:headerReference w:type="default" r:id="rId10"/>
      <w:footerReference w:type="even" r:id="rId11"/>
      <w:footerReference w:type="default" r:id="rId12"/>
      <w:headerReference w:type="first" r:id="rId13"/>
      <w:footerReference w:type="first" r:id="rId14"/>
      <w:pgSz w:w="11900" w:h="16840"/>
      <w:pgMar w:top="2098" w:right="843" w:bottom="1134" w:left="1134" w:header="23" w:footer="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095BE" w14:textId="77777777" w:rsidR="003929AB" w:rsidRDefault="003929AB">
      <w:r>
        <w:separator/>
      </w:r>
    </w:p>
  </w:endnote>
  <w:endnote w:type="continuationSeparator" w:id="0">
    <w:p w14:paraId="38CC0F03" w14:textId="77777777" w:rsidR="003929AB" w:rsidRDefault="00392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112A3D-1628-4BD4-8A6D-8003EBE026CE}"/>
    <w:embedBold r:id="rId2" w:fontKey="{C57B4D71-9A4B-485B-A66C-0FA6436427A0}"/>
  </w:font>
  <w:font w:name="Noto Sans Symbols">
    <w:altName w:val="Calibri"/>
    <w:charset w:val="00"/>
    <w:family w:val="auto"/>
    <w:pitch w:val="default"/>
    <w:embedRegular r:id="rId3" w:fontKey="{5DE8244B-BC20-4EB1-87FC-D28C6F532ED2}"/>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4" w:subsetted="1" w:fontKey="{2B72775E-60C1-4F9C-816A-C93B40AF3BD7}"/>
  </w:font>
  <w:font w:name="Garamond">
    <w:panose1 w:val="02020404030301010803"/>
    <w:charset w:val="00"/>
    <w:family w:val="roman"/>
    <w:pitch w:val="variable"/>
    <w:sig w:usb0="00000287" w:usb1="00000000" w:usb2="00000000" w:usb3="00000000" w:csb0="0000009F" w:csb1="00000000"/>
    <w:embedRegular r:id="rId5" w:fontKey="{8E9ECFD7-BA1D-4A0A-919C-01842B239BE1}"/>
    <w:embedBold r:id="rId6" w:fontKey="{8F68515F-4FCD-48EE-AE91-C213BADDA5EC}"/>
  </w:font>
  <w:font w:name="Albertus 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3FBFEC12-EE7E-4C94-A69A-B153214B108E}"/>
    <w:embedItalic r:id="rId8" w:fontKey="{8CB53024-CEA6-493E-836D-49C6680D3E0C}"/>
  </w:font>
  <w:font w:name="Titill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45F45A90-9BEB-4066-8B13-2957C4800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5532" w14:textId="77777777" w:rsidR="001D79FD" w:rsidRDefault="001D79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03E3" w14:textId="77777777" w:rsidR="009F65FE" w:rsidRDefault="003929AB">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B0DF90E" w14:textId="77777777" w:rsidR="009F65FE" w:rsidRDefault="009F65FE">
    <w:pPr>
      <w:pBdr>
        <w:top w:val="nil"/>
        <w:left w:val="nil"/>
        <w:bottom w:val="nil"/>
        <w:right w:val="nil"/>
        <w:between w:val="nil"/>
      </w:pBdr>
      <w:tabs>
        <w:tab w:val="center" w:pos="4819"/>
        <w:tab w:val="right" w:pos="9638"/>
      </w:tabs>
      <w:ind w:left="-1134"/>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4937" w14:textId="77777777" w:rsidR="001D79FD" w:rsidRDefault="001D79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410CA" w14:textId="77777777" w:rsidR="003929AB" w:rsidRDefault="003929AB">
      <w:r>
        <w:separator/>
      </w:r>
    </w:p>
  </w:footnote>
  <w:footnote w:type="continuationSeparator" w:id="0">
    <w:p w14:paraId="2C272A27" w14:textId="77777777" w:rsidR="003929AB" w:rsidRDefault="003929AB">
      <w:r>
        <w:continuationSeparator/>
      </w:r>
    </w:p>
  </w:footnote>
  <w:footnote w:id="1">
    <w:p w14:paraId="60821E7B"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vertAlign w:val="superscript"/>
        </w:rPr>
        <w:footnoteRef/>
      </w:r>
      <w:r>
        <w:rPr>
          <w:rFonts w:ascii="Titillium" w:eastAsia="Titillium" w:hAnsi="Titillium" w:cs="Titillium"/>
          <w:color w:val="000000"/>
          <w:sz w:val="16"/>
          <w:szCs w:val="16"/>
        </w:rPr>
        <w:t xml:space="preserve"> Le dichiarazioni devono essere rese dal titolare /rappresentante legale/procuratore</w:t>
      </w:r>
    </w:p>
    <w:p w14:paraId="7AD83410"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dell'Operatore singolo, </w:t>
      </w:r>
    </w:p>
    <w:p w14:paraId="535252C8"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dei consorzi di cui all’articolo 65, comma 2, lettere b) e c) del Codice.</w:t>
      </w:r>
    </w:p>
    <w:p w14:paraId="183E9DFF"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dei consorzi stabili di cui all’articolo 65, comma 2, lett. d) del Codice, </w:t>
      </w:r>
    </w:p>
    <w:p w14:paraId="35400339"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della Mandataria /Capofila nel caso di RTI o Consorzi Ordinari costituiti </w:t>
      </w:r>
    </w:p>
    <w:p w14:paraId="73C87566"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di tutte le imprese raggruppate in un RTI nel caso di RTI ancora da costituire </w:t>
      </w:r>
    </w:p>
    <w:p w14:paraId="6C4CC622"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di tutte le imprese consorziate che partecipano alla gara nel caso di un Consorzio Ordinario ancora da costituire</w:t>
      </w:r>
    </w:p>
    <w:p w14:paraId="5859FEC3"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dell’impresa retista che riveste la funzione di organo comune nel caso di rete dotata di organo comune con potere di rappresentanza e con/senza soggettività giuridica; </w:t>
      </w:r>
    </w:p>
    <w:p w14:paraId="0F8F54C9"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 delle imprese retiste che partecipano alla gara nel caso di Rete dotata di organo comune privo di rappresentanza o se la Rete è sprovvista di organo comune o se l’organo comune è privo dei requisiti di qualificazione richiesti per assumere la veste di mandataria. </w:t>
      </w:r>
    </w:p>
    <w:p w14:paraId="08B4639D" w14:textId="77777777" w:rsidR="009F65FE" w:rsidRDefault="003929AB">
      <w:pPr>
        <w:pBdr>
          <w:top w:val="none" w:sz="0" w:space="0" w:color="000000"/>
          <w:left w:val="none" w:sz="0" w:space="0" w:color="000000"/>
          <w:bottom w:val="none" w:sz="0" w:space="0" w:color="000000"/>
          <w:right w:val="none" w:sz="0" w:space="0" w:color="000000"/>
          <w:between w:val="none" w:sz="0" w:space="0" w:color="000000"/>
        </w:pBdr>
        <w:tabs>
          <w:tab w:val="right" w:pos="9639"/>
        </w:tabs>
        <w:jc w:val="both"/>
        <w:rPr>
          <w:rFonts w:ascii="Garamond" w:eastAsia="Garamond" w:hAnsi="Garamond" w:cs="Garamond"/>
          <w:color w:val="000000"/>
          <w:sz w:val="16"/>
          <w:szCs w:val="16"/>
          <w:vertAlign w:val="superscript"/>
        </w:rPr>
      </w:pPr>
      <w:r>
        <w:rPr>
          <w:rFonts w:ascii="Titillium" w:eastAsia="Titillium" w:hAnsi="Titillium" w:cs="Titillium"/>
          <w:color w:val="000000"/>
          <w:sz w:val="16"/>
          <w:szCs w:val="16"/>
        </w:rPr>
        <w:t>• del Gruppo Europeo Interesse Economico</w:t>
      </w:r>
    </w:p>
  </w:footnote>
  <w:footnote w:id="2">
    <w:p w14:paraId="0B5E212E" w14:textId="77777777" w:rsidR="009F65FE" w:rsidRDefault="003929AB">
      <w:pPr>
        <w:pBdr>
          <w:top w:val="nil"/>
          <w:left w:val="nil"/>
          <w:bottom w:val="nil"/>
          <w:right w:val="nil"/>
          <w:between w:val="nil"/>
        </w:pBdr>
        <w:tabs>
          <w:tab w:val="right" w:pos="9639"/>
        </w:tabs>
        <w:jc w:val="both"/>
        <w:rPr>
          <w:rFonts w:ascii="Garamond" w:eastAsia="Garamond" w:hAnsi="Garamond" w:cs="Garamond"/>
          <w:b/>
          <w:color w:val="000000"/>
          <w:sz w:val="18"/>
          <w:szCs w:val="18"/>
          <w:vertAlign w:val="superscript"/>
        </w:rPr>
      </w:pPr>
      <w:r>
        <w:rPr>
          <w:vertAlign w:val="superscript"/>
        </w:rPr>
        <w:footnoteRef/>
      </w:r>
      <w:r>
        <w:rPr>
          <w:rFonts w:ascii="Titillium" w:eastAsia="Titillium" w:hAnsi="Titillium" w:cs="Titillium"/>
          <w:b/>
          <w:color w:val="000000"/>
          <w:sz w:val="16"/>
          <w:szCs w:val="16"/>
          <w:vertAlign w:val="superscript"/>
        </w:rPr>
        <w:t xml:space="preserve"> </w:t>
      </w:r>
      <w:r>
        <w:rPr>
          <w:rFonts w:ascii="Titillium" w:eastAsia="Titillium" w:hAnsi="Titillium" w:cs="Titillium"/>
          <w:b/>
          <w:color w:val="000000"/>
          <w:sz w:val="16"/>
          <w:szCs w:val="16"/>
        </w:rPr>
        <w:t>La procura allegata ad una delle dichiarazioni sarà considerata valida anche ai fini delle altre dichiarazioni</w:t>
      </w:r>
    </w:p>
  </w:footnote>
  <w:footnote w:id="3">
    <w:p w14:paraId="352B9C75" w14:textId="77777777" w:rsidR="009F65FE" w:rsidRDefault="003929AB">
      <w:pPr>
        <w:pBdr>
          <w:top w:val="nil"/>
          <w:left w:val="nil"/>
          <w:bottom w:val="nil"/>
          <w:right w:val="nil"/>
          <w:between w:val="nil"/>
        </w:pBdr>
        <w:tabs>
          <w:tab w:val="right" w:pos="9639"/>
        </w:tabs>
        <w:jc w:val="both"/>
        <w:rPr>
          <w:rFonts w:ascii="Titillium" w:eastAsia="Titillium" w:hAnsi="Titillium" w:cs="Titillium"/>
          <w:sz w:val="16"/>
          <w:szCs w:val="16"/>
        </w:rPr>
      </w:pPr>
      <w:r>
        <w:rPr>
          <w:vertAlign w:val="superscript"/>
        </w:rPr>
        <w:footnoteRef/>
      </w:r>
      <w:r>
        <w:rPr>
          <w:rFonts w:ascii="Titillium" w:eastAsia="Titillium" w:hAnsi="Titillium" w:cs="Titillium"/>
          <w:b/>
          <w:color w:val="000000"/>
          <w:sz w:val="16"/>
          <w:szCs w:val="16"/>
          <w:vertAlign w:val="superscript"/>
        </w:rPr>
        <w:t xml:space="preserve"> </w:t>
      </w:r>
      <w:r>
        <w:rPr>
          <w:rFonts w:ascii="Titillium" w:eastAsia="Titillium" w:hAnsi="Titillium" w:cs="Titillium"/>
          <w:sz w:val="16"/>
          <w:szCs w:val="16"/>
        </w:rPr>
        <w:t>L’Operatore economico che si trovi in una delle situazioni di cui agli articoli 94 e 95 del Codice, ad eccezione delle irregolarità contributive e fiscali definitivamente e non definitivamente accertate, può fornire prova di aver adottato misure sufficienti a dimostrare la sua affidabilità.</w:t>
      </w:r>
    </w:p>
    <w:p w14:paraId="651DF790" w14:textId="77777777" w:rsidR="009F65FE" w:rsidRDefault="003929AB">
      <w:pPr>
        <w:pBdr>
          <w:top w:val="nil"/>
          <w:left w:val="nil"/>
          <w:bottom w:val="nil"/>
          <w:right w:val="nil"/>
          <w:between w:val="nil"/>
        </w:pBdr>
        <w:tabs>
          <w:tab w:val="right" w:pos="9639"/>
        </w:tabs>
        <w:jc w:val="both"/>
        <w:rPr>
          <w:rFonts w:ascii="Garamond" w:eastAsia="Garamond" w:hAnsi="Garamond" w:cs="Garamond"/>
          <w:b/>
          <w:color w:val="000000"/>
          <w:sz w:val="18"/>
          <w:szCs w:val="18"/>
          <w:vertAlign w:val="superscript"/>
        </w:rPr>
      </w:pPr>
      <w:r>
        <w:rPr>
          <w:rFonts w:ascii="Titillium" w:eastAsia="Titillium" w:hAnsi="Titillium" w:cs="Titillium"/>
          <w:sz w:val="16"/>
          <w:szCs w:val="16"/>
        </w:rPr>
        <w:t>Per ulteriori informazioni si veda il co</w:t>
      </w:r>
      <w:r>
        <w:rPr>
          <w:rFonts w:ascii="Titillium" w:eastAsia="Titillium" w:hAnsi="Titillium" w:cs="Titillium"/>
          <w:color w:val="000000"/>
          <w:sz w:val="16"/>
          <w:szCs w:val="16"/>
        </w:rPr>
        <w:t>municato del Presidente dell’ANAC del 26 ottobre 2016 “</w:t>
      </w:r>
      <w:r>
        <w:rPr>
          <w:rFonts w:ascii="Titillium" w:eastAsia="Titillium" w:hAnsi="Titillium" w:cs="Titillium"/>
          <w:i/>
          <w:color w:val="000000"/>
          <w:sz w:val="16"/>
          <w:szCs w:val="16"/>
        </w:rPr>
        <w:t>Indicazioni alle stazioni appaltanti e agli operatori economici sulla definizione dell’ambito soggettivo dell’art. 80 d.lgs. 50/2016 e sullo svolgimento delle verifiche sulle dichiarazioni sostitutive rese dai concorrenti ai sensi del d.p.r. 445/2000 mediante utilizzo del modello di DGUE</w:t>
      </w:r>
      <w:r>
        <w:rPr>
          <w:rFonts w:ascii="Titillium" w:eastAsia="Titillium" w:hAnsi="Titillium" w:cs="Titillium"/>
          <w:color w:val="000000"/>
          <w:sz w:val="16"/>
          <w:szCs w:val="16"/>
        </w:rPr>
        <w:t>”, pubblicato sul sito dell’Autorità in data 14/11/2016 - come modificato ai sensi dell’art. 96, commi da 2 a 6, D. lgs. 36/2023.</w:t>
      </w:r>
    </w:p>
  </w:footnote>
  <w:footnote w:id="4">
    <w:p w14:paraId="49AF3EF5" w14:textId="77777777" w:rsidR="009F65FE" w:rsidRDefault="003929AB">
      <w:pPr>
        <w:pBdr>
          <w:top w:val="nil"/>
          <w:left w:val="nil"/>
          <w:bottom w:val="nil"/>
          <w:right w:val="nil"/>
          <w:between w:val="nil"/>
        </w:pBdr>
        <w:tabs>
          <w:tab w:val="right" w:pos="9639"/>
        </w:tabs>
        <w:jc w:val="both"/>
        <w:rPr>
          <w:rFonts w:ascii="Titillium" w:eastAsia="Titillium" w:hAnsi="Titillium" w:cs="Titillium"/>
          <w:b/>
          <w:color w:val="000000"/>
          <w:sz w:val="16"/>
          <w:szCs w:val="16"/>
        </w:rPr>
      </w:pPr>
      <w:r>
        <w:rPr>
          <w:vertAlign w:val="superscript"/>
        </w:rPr>
        <w:footnoteRef/>
      </w:r>
      <w:r>
        <w:rPr>
          <w:rFonts w:ascii="Titillium" w:eastAsia="Titillium" w:hAnsi="Titillium" w:cs="Titillium"/>
          <w:color w:val="000000"/>
          <w:sz w:val="16"/>
          <w:szCs w:val="16"/>
          <w:vertAlign w:val="superscript"/>
        </w:rPr>
        <w:t xml:space="preserve"> </w:t>
      </w:r>
      <w:r>
        <w:rPr>
          <w:rFonts w:ascii="Titillium" w:eastAsia="Titillium" w:hAnsi="Titillium" w:cs="Titillium"/>
          <w:color w:val="000000"/>
          <w:sz w:val="16"/>
          <w:szCs w:val="16"/>
        </w:rPr>
        <w:t xml:space="preserve"> </w:t>
      </w:r>
      <w:r>
        <w:rPr>
          <w:rFonts w:ascii="Titillium" w:eastAsia="Titillium" w:hAnsi="Titillium" w:cs="Titillium"/>
          <w:b/>
          <w:i/>
          <w:color w:val="000000"/>
          <w:sz w:val="16"/>
          <w:szCs w:val="16"/>
        </w:rPr>
        <w:t>NOTA BENE</w:t>
      </w:r>
      <w:r>
        <w:rPr>
          <w:rFonts w:ascii="Titillium" w:eastAsia="Titillium" w:hAnsi="Titillium" w:cs="Titillium"/>
          <w:color w:val="000000"/>
          <w:sz w:val="16"/>
          <w:szCs w:val="16"/>
        </w:rPr>
        <w:t xml:space="preserve">: </w:t>
      </w:r>
      <w:r>
        <w:rPr>
          <w:rFonts w:ascii="Titillium" w:eastAsia="Titillium" w:hAnsi="Titillium" w:cs="Titillium"/>
          <w:b/>
          <w:color w:val="000000"/>
          <w:sz w:val="16"/>
          <w:szCs w:val="16"/>
        </w:rPr>
        <w:t>Il concorrente a tal fine allega anche una copia firmata digitalmente della offerta tecnica adeguatamente oscurata nelle parti ritenute costituenti segreti tecnici e commerciali. Resta ferma, la facoltà della Stazione Appaltante di valutare la fondatezza delle motivazioni addotte e di chiedere al concorrente di dimostrare la tangibile sussistenza di eventuali segreti tecnici e commerciali.</w:t>
      </w:r>
    </w:p>
    <w:p w14:paraId="630F0934" w14:textId="77777777" w:rsidR="009F65FE" w:rsidRDefault="003929AB">
      <w:pPr>
        <w:pBdr>
          <w:top w:val="nil"/>
          <w:left w:val="nil"/>
          <w:bottom w:val="nil"/>
          <w:right w:val="nil"/>
          <w:between w:val="nil"/>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 xml:space="preserve">INAF si riserva di valutare la compatibilità dell’istanza di riservatezza con il diritto di accesso dei soggetti interessati, facendo presente fin d’ora che in caso di accesso c.d. difensivo lo stesso verrà ritenuto prevalente rispetto alle contrapposte esigenze di riservatezza o di segretezza tecnico/commerciale. </w:t>
      </w:r>
    </w:p>
    <w:p w14:paraId="52E105AD" w14:textId="77777777" w:rsidR="009F65FE" w:rsidRDefault="003929AB">
      <w:pPr>
        <w:pBdr>
          <w:top w:val="nil"/>
          <w:left w:val="nil"/>
          <w:bottom w:val="nil"/>
          <w:right w:val="nil"/>
          <w:between w:val="nil"/>
        </w:pBdr>
        <w:tabs>
          <w:tab w:val="right" w:pos="9639"/>
        </w:tabs>
        <w:jc w:val="both"/>
        <w:rPr>
          <w:rFonts w:ascii="Titillium" w:eastAsia="Titillium" w:hAnsi="Titillium" w:cs="Titillium"/>
          <w:color w:val="000000"/>
          <w:sz w:val="16"/>
          <w:szCs w:val="16"/>
        </w:rPr>
      </w:pPr>
      <w:r>
        <w:rPr>
          <w:rFonts w:ascii="Titillium" w:eastAsia="Titillium" w:hAnsi="Titillium" w:cs="Titillium"/>
          <w:color w:val="000000"/>
          <w:sz w:val="16"/>
          <w:szCs w:val="16"/>
        </w:rPr>
        <w:t>Si precisa che in caso di richiesta di accesso agli atti della presente procedura di affidamento, le previsioni di cui al presente paragrafo costituiscono comunicazione ai sensi dell'art. 3 del D.P.R. n. 184/2006</w:t>
      </w:r>
    </w:p>
  </w:footnote>
  <w:footnote w:id="5">
    <w:p w14:paraId="1DA3AC5F" w14:textId="77777777" w:rsidR="009F65FE" w:rsidRDefault="003929AB">
      <w:pPr>
        <w:tabs>
          <w:tab w:val="right" w:pos="9639"/>
        </w:tabs>
        <w:jc w:val="both"/>
        <w:rPr>
          <w:rFonts w:ascii="Titillium" w:eastAsia="Titillium" w:hAnsi="Titillium" w:cs="Titillium"/>
          <w:sz w:val="16"/>
          <w:szCs w:val="16"/>
        </w:rPr>
      </w:pPr>
      <w:r>
        <w:rPr>
          <w:vertAlign w:val="superscript"/>
        </w:rPr>
        <w:footnoteRef/>
      </w:r>
      <w:r>
        <w:rPr>
          <w:rFonts w:ascii="Titillium" w:eastAsia="Titillium" w:hAnsi="Titillium" w:cs="Titillium"/>
          <w:sz w:val="16"/>
          <w:szCs w:val="16"/>
        </w:rPr>
        <w:t xml:space="preserve">  Con riguardo alla necessaria applicazione anche alle imprese estere delle norme relative alla promozione dell’inclusione lavorativa delle persone disabili (nonché delle parità di genere e generazionale), si veda il parere del Ministero delle Infrastrutture e dei Trasporti n. 2041/2023 disponibile al link: https://www.oice.it/file/9327f50d4939e9062a3738413e95cd5a/10424908/</w:t>
      </w:r>
    </w:p>
    <w:p w14:paraId="2B1868EB" w14:textId="77777777" w:rsidR="009F65FE" w:rsidRDefault="009F65FE">
      <w:pPr>
        <w:tabs>
          <w:tab w:val="right" w:pos="9639"/>
        </w:tabs>
        <w:jc w:val="both"/>
        <w:rPr>
          <w:rFonts w:ascii="Titillium" w:eastAsia="Titillium" w:hAnsi="Titillium" w:cs="Titillium"/>
          <w:sz w:val="16"/>
          <w:szCs w:val="16"/>
        </w:rPr>
      </w:pPr>
    </w:p>
  </w:footnote>
  <w:footnote w:id="6">
    <w:p w14:paraId="627DBFE2" w14:textId="77777777" w:rsidR="009F65FE" w:rsidRDefault="003929AB">
      <w:pPr>
        <w:tabs>
          <w:tab w:val="right" w:pos="9639"/>
        </w:tabs>
        <w:jc w:val="both"/>
        <w:rPr>
          <w:rFonts w:ascii="Titillium" w:eastAsia="Titillium" w:hAnsi="Titillium" w:cs="Titillium"/>
          <w:sz w:val="16"/>
          <w:szCs w:val="16"/>
        </w:rPr>
      </w:pPr>
      <w:r>
        <w:rPr>
          <w:vertAlign w:val="superscript"/>
        </w:rPr>
        <w:footnoteRef/>
      </w:r>
      <w:r>
        <w:rPr>
          <w:rFonts w:ascii="Titillium" w:eastAsia="Titillium" w:hAnsi="Titillium" w:cs="Titillium"/>
          <w:sz w:val="16"/>
          <w:szCs w:val="16"/>
          <w:vertAlign w:val="superscript"/>
        </w:rPr>
        <w:t xml:space="preserve"> </w:t>
      </w:r>
      <w:r>
        <w:rPr>
          <w:rFonts w:ascii="Titillium" w:eastAsia="Titillium" w:hAnsi="Titillium" w:cs="Titillium"/>
          <w:sz w:val="16"/>
          <w:szCs w:val="16"/>
        </w:rPr>
        <w:t xml:space="preserve"> Ulteriori informazioni e documenti relativi al/ai titolare/i effettivo/i sono previsti nell’allegato n)  “</w:t>
      </w:r>
      <w:r>
        <w:rPr>
          <w:rFonts w:ascii="Titillium" w:eastAsia="Titillium" w:hAnsi="Titillium" w:cs="Titillium"/>
          <w:i/>
          <w:sz w:val="16"/>
          <w:szCs w:val="16"/>
        </w:rPr>
        <w:t>Modello dichiarazione titolare effettivo</w:t>
      </w:r>
      <w:r>
        <w:rPr>
          <w:rFonts w:ascii="Titillium" w:eastAsia="Titillium" w:hAnsi="Titillium" w:cs="Titillium"/>
          <w:sz w:val="16"/>
          <w:szCs w:val="16"/>
        </w:rPr>
        <w:t>”.</w:t>
      </w:r>
    </w:p>
    <w:p w14:paraId="0D372A01" w14:textId="77777777" w:rsidR="009F65FE" w:rsidRDefault="009F65FE">
      <w:pPr>
        <w:tabs>
          <w:tab w:val="right" w:pos="9639"/>
        </w:tabs>
        <w:jc w:val="both"/>
        <w:rPr>
          <w:rFonts w:ascii="Titillium" w:eastAsia="Titillium" w:hAnsi="Titillium" w:cs="Titillium"/>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C0B2" w14:textId="77777777" w:rsidR="001D79FD" w:rsidRDefault="001D79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E133" w14:textId="77777777" w:rsidR="009F65FE" w:rsidRDefault="009F65FE">
    <w:pPr>
      <w:pBdr>
        <w:top w:val="nil"/>
        <w:left w:val="nil"/>
        <w:bottom w:val="nil"/>
        <w:right w:val="nil"/>
        <w:between w:val="nil"/>
      </w:pBdr>
      <w:tabs>
        <w:tab w:val="center" w:pos="4819"/>
        <w:tab w:val="right" w:pos="9638"/>
      </w:tabs>
      <w:ind w:left="-1134" w:right="-1134"/>
      <w:rPr>
        <w:color w:val="000000"/>
      </w:rPr>
    </w:pPr>
  </w:p>
  <w:p w14:paraId="70F1567D" w14:textId="77777777" w:rsidR="009F65FE" w:rsidRDefault="009F65FE">
    <w:pPr>
      <w:pBdr>
        <w:top w:val="nil"/>
        <w:left w:val="nil"/>
        <w:bottom w:val="nil"/>
        <w:right w:val="nil"/>
        <w:between w:val="nil"/>
      </w:pBdr>
      <w:tabs>
        <w:tab w:val="center" w:pos="4819"/>
        <w:tab w:val="right" w:pos="9638"/>
      </w:tabs>
      <w:ind w:right="-1134"/>
      <w:rPr>
        <w:color w:val="000000"/>
      </w:rPr>
    </w:pPr>
  </w:p>
  <w:p w14:paraId="65C9C72D" w14:textId="77777777" w:rsidR="001D79FD" w:rsidRDefault="001D79FD">
    <w:pPr>
      <w:pBdr>
        <w:top w:val="nil"/>
        <w:left w:val="nil"/>
        <w:bottom w:val="nil"/>
        <w:right w:val="nil"/>
        <w:between w:val="nil"/>
      </w:pBdr>
      <w:tabs>
        <w:tab w:val="center" w:pos="4819"/>
        <w:tab w:val="right" w:pos="9638"/>
      </w:tabs>
      <w:ind w:right="-1134"/>
      <w:rPr>
        <w:color w:val="000000"/>
      </w:rPr>
    </w:pPr>
  </w:p>
  <w:p w14:paraId="37AC668C" w14:textId="601A7FB5" w:rsidR="001D79FD" w:rsidRDefault="001D79FD">
    <w:pPr>
      <w:pBdr>
        <w:top w:val="nil"/>
        <w:left w:val="nil"/>
        <w:bottom w:val="nil"/>
        <w:right w:val="nil"/>
        <w:between w:val="nil"/>
      </w:pBdr>
      <w:tabs>
        <w:tab w:val="center" w:pos="4819"/>
        <w:tab w:val="right" w:pos="9638"/>
      </w:tabs>
      <w:ind w:right="-1134"/>
      <w:rPr>
        <w:color w:val="000000"/>
      </w:rPr>
    </w:pPr>
    <w:r>
      <w:rPr>
        <w:color w:val="000000"/>
      </w:rPr>
      <w:t>Su carta inetsrata dell’OE</w:t>
    </w:r>
  </w:p>
  <w:p w14:paraId="758FE800" w14:textId="77777777" w:rsidR="009F65FE" w:rsidRDefault="009F65FE">
    <w:pPr>
      <w:pBdr>
        <w:top w:val="nil"/>
        <w:left w:val="nil"/>
        <w:bottom w:val="nil"/>
        <w:right w:val="nil"/>
        <w:between w:val="nil"/>
      </w:pBdr>
      <w:tabs>
        <w:tab w:val="center" w:pos="4819"/>
        <w:tab w:val="right" w:pos="9638"/>
      </w:tabs>
      <w:ind w:right="-1134"/>
      <w:rPr>
        <w:color w:val="000000"/>
      </w:rPr>
    </w:pPr>
  </w:p>
  <w:p w14:paraId="2CC44C1A" w14:textId="77777777" w:rsidR="009F65FE" w:rsidRDefault="003929AB">
    <w:pPr>
      <w:pBdr>
        <w:top w:val="nil"/>
        <w:left w:val="nil"/>
        <w:bottom w:val="nil"/>
        <w:right w:val="nil"/>
        <w:between w:val="nil"/>
      </w:pBdr>
      <w:tabs>
        <w:tab w:val="center" w:pos="4819"/>
        <w:tab w:val="right" w:pos="9638"/>
      </w:tabs>
      <w:ind w:left="-1134" w:right="-1134"/>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BEBD" w14:textId="77777777" w:rsidR="001D79FD" w:rsidRDefault="001D79F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B2908"/>
    <w:multiLevelType w:val="multilevel"/>
    <w:tmpl w:val="B0AE9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54FB8"/>
    <w:multiLevelType w:val="multilevel"/>
    <w:tmpl w:val="1EC6038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BD1CBC"/>
    <w:multiLevelType w:val="multilevel"/>
    <w:tmpl w:val="06AA253A"/>
    <w:lvl w:ilvl="0">
      <w:start w:val="1"/>
      <w:numFmt w:val="decimal"/>
      <w:lvlText w:val="%1."/>
      <w:lvlJc w:val="left"/>
      <w:pPr>
        <w:ind w:left="567" w:hanging="425"/>
      </w:pPr>
      <w:rPr>
        <w:b/>
        <w:i w:val="0"/>
        <w:smallCaps w:val="0"/>
        <w:strike w:val="0"/>
        <w:shd w:val="clear" w:color="auto" w:fill="auto"/>
        <w:vertAlign w:val="baseline"/>
      </w:rPr>
    </w:lvl>
    <w:lvl w:ilvl="1">
      <w:start w:val="1"/>
      <w:numFmt w:val="decimal"/>
      <w:lvlText w:val="%2."/>
      <w:lvlJc w:val="left"/>
      <w:pPr>
        <w:ind w:left="1145" w:hanging="425"/>
      </w:pPr>
      <w:rPr>
        <w:smallCaps w:val="0"/>
        <w:strike w:val="0"/>
        <w:shd w:val="clear" w:color="auto" w:fill="auto"/>
        <w:vertAlign w:val="baseline"/>
      </w:rPr>
    </w:lvl>
    <w:lvl w:ilvl="2">
      <w:start w:val="1"/>
      <w:numFmt w:val="decimal"/>
      <w:lvlText w:val="%3."/>
      <w:lvlJc w:val="left"/>
      <w:pPr>
        <w:ind w:left="1865" w:hanging="425"/>
      </w:pPr>
      <w:rPr>
        <w:smallCaps w:val="0"/>
        <w:strike w:val="0"/>
        <w:shd w:val="clear" w:color="auto" w:fill="auto"/>
        <w:vertAlign w:val="baseline"/>
      </w:rPr>
    </w:lvl>
    <w:lvl w:ilvl="3">
      <w:start w:val="1"/>
      <w:numFmt w:val="decimal"/>
      <w:lvlText w:val="%4."/>
      <w:lvlJc w:val="left"/>
      <w:pPr>
        <w:ind w:left="2585" w:hanging="425"/>
      </w:pPr>
      <w:rPr>
        <w:smallCaps w:val="0"/>
        <w:strike w:val="0"/>
        <w:shd w:val="clear" w:color="auto" w:fill="auto"/>
        <w:vertAlign w:val="baseline"/>
      </w:rPr>
    </w:lvl>
    <w:lvl w:ilvl="4">
      <w:start w:val="1"/>
      <w:numFmt w:val="decimal"/>
      <w:lvlText w:val="%5."/>
      <w:lvlJc w:val="left"/>
      <w:pPr>
        <w:ind w:left="3305" w:hanging="425"/>
      </w:pPr>
      <w:rPr>
        <w:smallCaps w:val="0"/>
        <w:strike w:val="0"/>
        <w:shd w:val="clear" w:color="auto" w:fill="auto"/>
        <w:vertAlign w:val="baseline"/>
      </w:rPr>
    </w:lvl>
    <w:lvl w:ilvl="5">
      <w:start w:val="1"/>
      <w:numFmt w:val="decimal"/>
      <w:lvlText w:val="%6."/>
      <w:lvlJc w:val="left"/>
      <w:pPr>
        <w:ind w:left="4025" w:hanging="425"/>
      </w:pPr>
      <w:rPr>
        <w:smallCaps w:val="0"/>
        <w:strike w:val="0"/>
        <w:shd w:val="clear" w:color="auto" w:fill="auto"/>
        <w:vertAlign w:val="baseline"/>
      </w:rPr>
    </w:lvl>
    <w:lvl w:ilvl="6">
      <w:start w:val="1"/>
      <w:numFmt w:val="decimal"/>
      <w:lvlText w:val="%7."/>
      <w:lvlJc w:val="left"/>
      <w:pPr>
        <w:ind w:left="4745" w:hanging="425"/>
      </w:pPr>
      <w:rPr>
        <w:smallCaps w:val="0"/>
        <w:strike w:val="0"/>
        <w:shd w:val="clear" w:color="auto" w:fill="auto"/>
        <w:vertAlign w:val="baseline"/>
      </w:rPr>
    </w:lvl>
    <w:lvl w:ilvl="7">
      <w:start w:val="1"/>
      <w:numFmt w:val="decimal"/>
      <w:lvlText w:val="%8."/>
      <w:lvlJc w:val="left"/>
      <w:pPr>
        <w:ind w:left="5465" w:hanging="425"/>
      </w:pPr>
      <w:rPr>
        <w:smallCaps w:val="0"/>
        <w:strike w:val="0"/>
        <w:shd w:val="clear" w:color="auto" w:fill="auto"/>
        <w:vertAlign w:val="baseline"/>
      </w:rPr>
    </w:lvl>
    <w:lvl w:ilvl="8">
      <w:start w:val="1"/>
      <w:numFmt w:val="decimal"/>
      <w:lvlText w:val="%9."/>
      <w:lvlJc w:val="left"/>
      <w:pPr>
        <w:ind w:left="6185" w:hanging="425"/>
      </w:pPr>
      <w:rPr>
        <w:smallCaps w:val="0"/>
        <w:strike w:val="0"/>
        <w:shd w:val="clear" w:color="auto" w:fill="auto"/>
        <w:vertAlign w:val="baseline"/>
      </w:rPr>
    </w:lvl>
  </w:abstractNum>
  <w:abstractNum w:abstractNumId="3" w15:restartNumberingAfterBreak="0">
    <w:nsid w:val="41FC1C0D"/>
    <w:multiLevelType w:val="multilevel"/>
    <w:tmpl w:val="AD7AAD00"/>
    <w:lvl w:ilvl="0">
      <w:start w:val="1"/>
      <w:numFmt w:val="bullet"/>
      <w:lvlText w:val="●"/>
      <w:lvlJc w:val="left"/>
      <w:pPr>
        <w:ind w:left="2727" w:hanging="360"/>
      </w:pPr>
      <w:rPr>
        <w:rFonts w:ascii="Noto Sans Symbols" w:eastAsia="Noto Sans Symbols" w:hAnsi="Noto Sans Symbols" w:cs="Noto Sans Symbols"/>
      </w:rPr>
    </w:lvl>
    <w:lvl w:ilvl="1">
      <w:start w:val="1"/>
      <w:numFmt w:val="bullet"/>
      <w:lvlText w:val="o"/>
      <w:lvlJc w:val="left"/>
      <w:pPr>
        <w:ind w:left="3447" w:hanging="360"/>
      </w:pPr>
      <w:rPr>
        <w:rFonts w:ascii="Courier New" w:eastAsia="Courier New" w:hAnsi="Courier New" w:cs="Courier New"/>
      </w:rPr>
    </w:lvl>
    <w:lvl w:ilvl="2">
      <w:start w:val="1"/>
      <w:numFmt w:val="bullet"/>
      <w:lvlText w:val="▪"/>
      <w:lvlJc w:val="left"/>
      <w:pPr>
        <w:ind w:left="4167" w:hanging="360"/>
      </w:pPr>
      <w:rPr>
        <w:rFonts w:ascii="Noto Sans Symbols" w:eastAsia="Noto Sans Symbols" w:hAnsi="Noto Sans Symbols" w:cs="Noto Sans Symbols"/>
      </w:rPr>
    </w:lvl>
    <w:lvl w:ilvl="3">
      <w:start w:val="1"/>
      <w:numFmt w:val="bullet"/>
      <w:lvlText w:val="●"/>
      <w:lvlJc w:val="left"/>
      <w:pPr>
        <w:ind w:left="4887" w:hanging="360"/>
      </w:pPr>
      <w:rPr>
        <w:rFonts w:ascii="Noto Sans Symbols" w:eastAsia="Noto Sans Symbols" w:hAnsi="Noto Sans Symbols" w:cs="Noto Sans Symbols"/>
      </w:rPr>
    </w:lvl>
    <w:lvl w:ilvl="4">
      <w:start w:val="1"/>
      <w:numFmt w:val="bullet"/>
      <w:lvlText w:val="o"/>
      <w:lvlJc w:val="left"/>
      <w:pPr>
        <w:ind w:left="5607" w:hanging="360"/>
      </w:pPr>
      <w:rPr>
        <w:rFonts w:ascii="Courier New" w:eastAsia="Courier New" w:hAnsi="Courier New" w:cs="Courier New"/>
      </w:rPr>
    </w:lvl>
    <w:lvl w:ilvl="5">
      <w:start w:val="1"/>
      <w:numFmt w:val="bullet"/>
      <w:lvlText w:val="▪"/>
      <w:lvlJc w:val="left"/>
      <w:pPr>
        <w:ind w:left="6327" w:hanging="360"/>
      </w:pPr>
      <w:rPr>
        <w:rFonts w:ascii="Noto Sans Symbols" w:eastAsia="Noto Sans Symbols" w:hAnsi="Noto Sans Symbols" w:cs="Noto Sans Symbols"/>
      </w:rPr>
    </w:lvl>
    <w:lvl w:ilvl="6">
      <w:start w:val="1"/>
      <w:numFmt w:val="bullet"/>
      <w:lvlText w:val="●"/>
      <w:lvlJc w:val="left"/>
      <w:pPr>
        <w:ind w:left="7047" w:hanging="360"/>
      </w:pPr>
      <w:rPr>
        <w:rFonts w:ascii="Noto Sans Symbols" w:eastAsia="Noto Sans Symbols" w:hAnsi="Noto Sans Symbols" w:cs="Noto Sans Symbols"/>
      </w:rPr>
    </w:lvl>
    <w:lvl w:ilvl="7">
      <w:start w:val="1"/>
      <w:numFmt w:val="bullet"/>
      <w:lvlText w:val="o"/>
      <w:lvlJc w:val="left"/>
      <w:pPr>
        <w:ind w:left="7767" w:hanging="360"/>
      </w:pPr>
      <w:rPr>
        <w:rFonts w:ascii="Courier New" w:eastAsia="Courier New" w:hAnsi="Courier New" w:cs="Courier New"/>
      </w:rPr>
    </w:lvl>
    <w:lvl w:ilvl="8">
      <w:start w:val="1"/>
      <w:numFmt w:val="bullet"/>
      <w:lvlText w:val="▪"/>
      <w:lvlJc w:val="left"/>
      <w:pPr>
        <w:ind w:left="8487" w:hanging="360"/>
      </w:pPr>
      <w:rPr>
        <w:rFonts w:ascii="Noto Sans Symbols" w:eastAsia="Noto Sans Symbols" w:hAnsi="Noto Sans Symbols" w:cs="Noto Sans Symbols"/>
      </w:rPr>
    </w:lvl>
  </w:abstractNum>
  <w:abstractNum w:abstractNumId="4" w15:restartNumberingAfterBreak="0">
    <w:nsid w:val="42741E52"/>
    <w:multiLevelType w:val="multilevel"/>
    <w:tmpl w:val="C13CC120"/>
    <w:lvl w:ilvl="0">
      <w:start w:val="1"/>
      <w:numFmt w:val="lowerLetter"/>
      <w:lvlText w:val="%1)"/>
      <w:lvlJc w:val="left"/>
      <w:pPr>
        <w:ind w:left="1276" w:hanging="284"/>
      </w:pPr>
      <w:rPr>
        <w:smallCaps w:val="0"/>
        <w:strike w:val="0"/>
        <w:shd w:val="clear" w:color="auto" w:fill="auto"/>
        <w:vertAlign w:val="baseline"/>
      </w:rPr>
    </w:lvl>
    <w:lvl w:ilvl="1">
      <w:start w:val="1"/>
      <w:numFmt w:val="lowerLetter"/>
      <w:lvlText w:val="%2)"/>
      <w:lvlJc w:val="left"/>
      <w:pPr>
        <w:ind w:left="1287" w:hanging="284"/>
      </w:pPr>
      <w:rPr>
        <w:smallCaps w:val="0"/>
        <w:strike w:val="0"/>
        <w:shd w:val="clear" w:color="auto" w:fill="auto"/>
        <w:vertAlign w:val="baseline"/>
      </w:rPr>
    </w:lvl>
    <w:lvl w:ilvl="2">
      <w:start w:val="1"/>
      <w:numFmt w:val="lowerLetter"/>
      <w:lvlText w:val="%3)"/>
      <w:lvlJc w:val="left"/>
      <w:pPr>
        <w:ind w:left="2007" w:hanging="284"/>
      </w:pPr>
      <w:rPr>
        <w:smallCaps w:val="0"/>
        <w:strike w:val="0"/>
        <w:shd w:val="clear" w:color="auto" w:fill="auto"/>
        <w:vertAlign w:val="baseline"/>
      </w:rPr>
    </w:lvl>
    <w:lvl w:ilvl="3">
      <w:start w:val="1"/>
      <w:numFmt w:val="lowerLetter"/>
      <w:lvlText w:val="%4)"/>
      <w:lvlJc w:val="left"/>
      <w:pPr>
        <w:ind w:left="2727" w:hanging="284"/>
      </w:pPr>
      <w:rPr>
        <w:smallCaps w:val="0"/>
        <w:strike w:val="0"/>
        <w:shd w:val="clear" w:color="auto" w:fill="auto"/>
        <w:vertAlign w:val="baseline"/>
      </w:rPr>
    </w:lvl>
    <w:lvl w:ilvl="4">
      <w:start w:val="1"/>
      <w:numFmt w:val="lowerLetter"/>
      <w:lvlText w:val="%5)"/>
      <w:lvlJc w:val="left"/>
      <w:pPr>
        <w:ind w:left="3447" w:hanging="284"/>
      </w:pPr>
      <w:rPr>
        <w:smallCaps w:val="0"/>
        <w:strike w:val="0"/>
        <w:shd w:val="clear" w:color="auto" w:fill="auto"/>
        <w:vertAlign w:val="baseline"/>
      </w:rPr>
    </w:lvl>
    <w:lvl w:ilvl="5">
      <w:start w:val="1"/>
      <w:numFmt w:val="lowerLetter"/>
      <w:lvlText w:val="%6)"/>
      <w:lvlJc w:val="left"/>
      <w:pPr>
        <w:ind w:left="4167" w:hanging="284"/>
      </w:pPr>
      <w:rPr>
        <w:smallCaps w:val="0"/>
        <w:strike w:val="0"/>
        <w:shd w:val="clear" w:color="auto" w:fill="auto"/>
        <w:vertAlign w:val="baseline"/>
      </w:rPr>
    </w:lvl>
    <w:lvl w:ilvl="6">
      <w:start w:val="1"/>
      <w:numFmt w:val="lowerLetter"/>
      <w:lvlText w:val="%7)"/>
      <w:lvlJc w:val="left"/>
      <w:pPr>
        <w:ind w:left="4887" w:hanging="284"/>
      </w:pPr>
      <w:rPr>
        <w:smallCaps w:val="0"/>
        <w:strike w:val="0"/>
        <w:shd w:val="clear" w:color="auto" w:fill="auto"/>
        <w:vertAlign w:val="baseline"/>
      </w:rPr>
    </w:lvl>
    <w:lvl w:ilvl="7">
      <w:start w:val="1"/>
      <w:numFmt w:val="lowerLetter"/>
      <w:lvlText w:val="%8)"/>
      <w:lvlJc w:val="left"/>
      <w:pPr>
        <w:ind w:left="5607" w:hanging="282"/>
      </w:pPr>
      <w:rPr>
        <w:smallCaps w:val="0"/>
        <w:strike w:val="0"/>
        <w:shd w:val="clear" w:color="auto" w:fill="auto"/>
        <w:vertAlign w:val="baseline"/>
      </w:rPr>
    </w:lvl>
    <w:lvl w:ilvl="8">
      <w:start w:val="1"/>
      <w:numFmt w:val="lowerLetter"/>
      <w:lvlText w:val="%9)"/>
      <w:lvlJc w:val="left"/>
      <w:pPr>
        <w:ind w:left="6327" w:hanging="282"/>
      </w:pPr>
      <w:rPr>
        <w:smallCaps w:val="0"/>
        <w:strike w:val="0"/>
        <w:shd w:val="clear" w:color="auto" w:fill="auto"/>
        <w:vertAlign w:val="baseline"/>
      </w:rPr>
    </w:lvl>
  </w:abstractNum>
  <w:abstractNum w:abstractNumId="5" w15:restartNumberingAfterBreak="0">
    <w:nsid w:val="5C3D566F"/>
    <w:multiLevelType w:val="multilevel"/>
    <w:tmpl w:val="2D44F934"/>
    <w:lvl w:ilvl="0">
      <w:start w:val="1"/>
      <w:numFmt w:val="bullet"/>
      <w:lvlText w:val="▪"/>
      <w:lvlJc w:val="left"/>
      <w:pPr>
        <w:ind w:left="1566" w:hanging="360"/>
      </w:pPr>
      <w:rPr>
        <w:rFonts w:ascii="Noto Sans Symbols" w:eastAsia="Noto Sans Symbols" w:hAnsi="Noto Sans Symbols" w:cs="Noto Sans Symbols"/>
        <w:color w:val="0000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7D0F00B3"/>
    <w:multiLevelType w:val="multilevel"/>
    <w:tmpl w:val="1AFCB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837047">
    <w:abstractNumId w:val="1"/>
  </w:num>
  <w:num w:numId="2" w16cid:durableId="2128086749">
    <w:abstractNumId w:val="6"/>
  </w:num>
  <w:num w:numId="3" w16cid:durableId="1335566963">
    <w:abstractNumId w:val="0"/>
  </w:num>
  <w:num w:numId="4" w16cid:durableId="103963654">
    <w:abstractNumId w:val="2"/>
  </w:num>
  <w:num w:numId="5" w16cid:durableId="559755810">
    <w:abstractNumId w:val="4"/>
  </w:num>
  <w:num w:numId="6" w16cid:durableId="1858227990">
    <w:abstractNumId w:val="3"/>
  </w:num>
  <w:num w:numId="7" w16cid:durableId="1820877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5FE"/>
    <w:rsid w:val="000F35B6"/>
    <w:rsid w:val="001D79FD"/>
    <w:rsid w:val="003929AB"/>
    <w:rsid w:val="008E712C"/>
    <w:rsid w:val="009F65FE"/>
    <w:rsid w:val="00B11C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B0310"/>
  <w15:docId w15:val="{DD6CC88E-BA61-4B22-8696-5910EBD1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
    <w:basedOn w:val="Normale"/>
    <w:link w:val="ParagrafoelencoCarattere"/>
    <w:uiPriority w:val="34"/>
    <w:qFormat/>
    <w:rsid w:val="000151A3"/>
    <w:pPr>
      <w:ind w:left="720"/>
      <w:contextualSpacing/>
    </w:pPr>
  </w:style>
  <w:style w:type="character" w:customStyle="1" w:styleId="ParagrafoelencoCarattere">
    <w:name w:val="Paragrafo elenco Carattere"/>
    <w:aliases w:val="Bullet edison Carattere,Paragrafo elenco 2 Carattere"/>
    <w:basedOn w:val="Carpredefinitoparagrafo"/>
    <w:link w:val="Paragrafoelenco"/>
    <w:uiPriority w:val="99"/>
    <w:qFormat/>
    <w:rsid w:val="00297CB2"/>
  </w:style>
  <w:style w:type="paragraph" w:styleId="Revisione">
    <w:name w:val="Revision"/>
    <w:hidden/>
    <w:uiPriority w:val="99"/>
    <w:semiHidden/>
    <w:rsid w:val="00761EC3"/>
  </w:style>
  <w:style w:type="character" w:styleId="Rimandocommento">
    <w:name w:val="annotation reference"/>
    <w:basedOn w:val="Carpredefinitoparagrafo"/>
    <w:uiPriority w:val="99"/>
    <w:semiHidden/>
    <w:unhideWhenUsed/>
    <w:rsid w:val="00346B95"/>
    <w:rPr>
      <w:sz w:val="16"/>
      <w:szCs w:val="16"/>
    </w:rPr>
  </w:style>
  <w:style w:type="paragraph" w:styleId="Testocommento">
    <w:name w:val="annotation text"/>
    <w:basedOn w:val="Normale"/>
    <w:link w:val="TestocommentoCarattere"/>
    <w:uiPriority w:val="99"/>
    <w:unhideWhenUsed/>
    <w:rsid w:val="00346B95"/>
    <w:rPr>
      <w:sz w:val="20"/>
      <w:szCs w:val="20"/>
    </w:rPr>
  </w:style>
  <w:style w:type="character" w:customStyle="1" w:styleId="TestocommentoCarattere">
    <w:name w:val="Testo commento Carattere"/>
    <w:basedOn w:val="Carpredefinitoparagrafo"/>
    <w:link w:val="Testocommento"/>
    <w:uiPriority w:val="99"/>
    <w:rsid w:val="00346B95"/>
    <w:rPr>
      <w:sz w:val="20"/>
      <w:szCs w:val="20"/>
    </w:rPr>
  </w:style>
  <w:style w:type="paragraph" w:styleId="Soggettocommento">
    <w:name w:val="annotation subject"/>
    <w:basedOn w:val="Testocommento"/>
    <w:next w:val="Testocommento"/>
    <w:link w:val="SoggettocommentoCarattere"/>
    <w:uiPriority w:val="99"/>
    <w:semiHidden/>
    <w:unhideWhenUsed/>
    <w:rsid w:val="00346B95"/>
    <w:rPr>
      <w:b/>
      <w:bCs/>
    </w:rPr>
  </w:style>
  <w:style w:type="character" w:customStyle="1" w:styleId="SoggettocommentoCarattere">
    <w:name w:val="Soggetto commento Carattere"/>
    <w:basedOn w:val="TestocommentoCarattere"/>
    <w:link w:val="Soggettocommento"/>
    <w:uiPriority w:val="99"/>
    <w:semiHidden/>
    <w:rsid w:val="00346B95"/>
    <w:rPr>
      <w:b/>
      <w:bCs/>
      <w:sz w:val="20"/>
      <w:szCs w:val="20"/>
    </w:rPr>
  </w:style>
  <w:style w:type="table" w:customStyle="1" w:styleId="TableNormal4">
    <w:name w:val="Table Normal"/>
    <w:rsid w:val="005F55D7"/>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Testonotaapidipagina">
    <w:name w:val="footnote text"/>
    <w:link w:val="TestonotaapidipaginaCarattere"/>
    <w:uiPriority w:val="99"/>
    <w:rsid w:val="005F55D7"/>
    <w:pPr>
      <w:pBdr>
        <w:top w:val="nil"/>
        <w:left w:val="nil"/>
        <w:bottom w:val="nil"/>
        <w:right w:val="nil"/>
        <w:between w:val="nil"/>
        <w:bar w:val="nil"/>
      </w:pBdr>
      <w:tabs>
        <w:tab w:val="right" w:pos="9639"/>
      </w:tabs>
      <w:jc w:val="both"/>
    </w:pPr>
    <w:rPr>
      <w:rFonts w:ascii="Garamond" w:eastAsia="Garamond" w:hAnsi="Garamond" w:cs="Garamond"/>
      <w:color w:val="000000"/>
      <w:sz w:val="18"/>
      <w:szCs w:val="18"/>
      <w:u w:color="000000"/>
      <w:bdr w:val="nil"/>
      <w:vertAlign w:val="superscript"/>
    </w:rPr>
  </w:style>
  <w:style w:type="character" w:customStyle="1" w:styleId="TestonotaapidipaginaCarattere">
    <w:name w:val="Testo nota a piè di pagina Carattere"/>
    <w:basedOn w:val="Carpredefinitoparagrafo"/>
    <w:link w:val="Testonotaapidipagina"/>
    <w:uiPriority w:val="99"/>
    <w:rsid w:val="005F55D7"/>
    <w:rPr>
      <w:rFonts w:ascii="Garamond" w:eastAsia="Garamond" w:hAnsi="Garamond" w:cs="Garamond"/>
      <w:color w:val="000000"/>
      <w:sz w:val="18"/>
      <w:szCs w:val="18"/>
      <w:u w:color="000000"/>
      <w:bdr w:val="nil"/>
      <w:vertAlign w:val="superscript"/>
      <w:lang w:eastAsia="it-IT"/>
    </w:rPr>
  </w:style>
  <w:style w:type="paragraph" w:styleId="Corpotesto">
    <w:name w:val="Body Text"/>
    <w:link w:val="CorpotestoCarattere"/>
    <w:rsid w:val="005F55D7"/>
    <w:pPr>
      <w:pBdr>
        <w:top w:val="nil"/>
        <w:left w:val="nil"/>
        <w:bottom w:val="nil"/>
        <w:right w:val="nil"/>
        <w:between w:val="nil"/>
        <w:bar w:val="nil"/>
      </w:pBdr>
      <w:jc w:val="both"/>
    </w:pPr>
    <w:rPr>
      <w:rFonts w:ascii="Albertus Medium" w:eastAsia="Albertus Medium" w:hAnsi="Albertus Medium" w:cs="Albertus Medium"/>
      <w:color w:val="000000"/>
      <w:sz w:val="18"/>
      <w:szCs w:val="18"/>
      <w:u w:color="000000"/>
      <w:bdr w:val="nil"/>
    </w:rPr>
  </w:style>
  <w:style w:type="character" w:customStyle="1" w:styleId="CorpotestoCarattere">
    <w:name w:val="Corpo testo Carattere"/>
    <w:basedOn w:val="Carpredefinitoparagrafo"/>
    <w:link w:val="Corpotesto"/>
    <w:rsid w:val="005F55D7"/>
    <w:rPr>
      <w:rFonts w:ascii="Albertus Medium" w:eastAsia="Albertus Medium" w:hAnsi="Albertus Medium" w:cs="Albertus Medium"/>
      <w:color w:val="000000"/>
      <w:sz w:val="18"/>
      <w:szCs w:val="18"/>
      <w:u w:color="000000"/>
      <w:bdr w:val="nil"/>
      <w:lang w:eastAsia="it-IT"/>
    </w:rPr>
  </w:style>
  <w:style w:type="numbering" w:customStyle="1" w:styleId="Stileimportato3">
    <w:name w:val="Stile importato 3"/>
    <w:rsid w:val="005F55D7"/>
  </w:style>
  <w:style w:type="numbering" w:customStyle="1" w:styleId="Stileimportato4">
    <w:name w:val="Stile importato 4"/>
    <w:rsid w:val="005F55D7"/>
  </w:style>
  <w:style w:type="numbering" w:customStyle="1" w:styleId="Stileimportato5">
    <w:name w:val="Stile importato 5"/>
    <w:rsid w:val="005F55D7"/>
  </w:style>
  <w:style w:type="paragraph" w:customStyle="1" w:styleId="Paragrafoelenco1">
    <w:name w:val="Paragrafo elenco1"/>
    <w:basedOn w:val="Normale"/>
    <w:uiPriority w:val="99"/>
    <w:qFormat/>
    <w:rsid w:val="005F55D7"/>
    <w:pPr>
      <w:ind w:left="720"/>
      <w:contextualSpacing/>
    </w:pPr>
    <w:rPr>
      <w:rFonts w:ascii="Times New Roman" w:eastAsia="Times New Roman" w:hAnsi="Times New Roman" w:cs="Times New Roman"/>
      <w:color w:val="00000A"/>
      <w:kern w:val="1"/>
      <w:szCs w:val="20"/>
      <w:u w:color="000000"/>
    </w:rPr>
  </w:style>
  <w:style w:type="character" w:styleId="Collegamentoipertestuale">
    <w:name w:val="Hyperlink"/>
    <w:basedOn w:val="Carpredefinitoparagrafo"/>
    <w:uiPriority w:val="99"/>
    <w:unhideWhenUsed/>
    <w:rsid w:val="00DA6464"/>
    <w:rPr>
      <w:color w:val="0563C1" w:themeColor="hyperlink"/>
      <w:u w:val="single"/>
    </w:rPr>
  </w:style>
  <w:style w:type="character" w:customStyle="1" w:styleId="Menzionenonrisolta1">
    <w:name w:val="Menzione non risolta1"/>
    <w:basedOn w:val="Carpredefinitoparagrafo"/>
    <w:uiPriority w:val="99"/>
    <w:semiHidden/>
    <w:unhideWhenUsed/>
    <w:rsid w:val="00DA6464"/>
    <w:rPr>
      <w:color w:val="605E5C"/>
      <w:shd w:val="clear" w:color="auto" w:fill="E1DFDD"/>
    </w:rPr>
  </w:style>
  <w:style w:type="character" w:styleId="Collegamentovisitato">
    <w:name w:val="FollowedHyperlink"/>
    <w:basedOn w:val="Carpredefinitoparagrafo"/>
    <w:uiPriority w:val="99"/>
    <w:semiHidden/>
    <w:unhideWhenUsed/>
    <w:rsid w:val="00DA6464"/>
    <w:rPr>
      <w:color w:val="954F72" w:themeColor="followedHyperlink"/>
      <w:u w:val="single"/>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rPr>
      <w:rFonts w:eastAsia="Times New Roman"/>
    </w:rPr>
    <w:tblPr>
      <w:tblStyleRowBandSize w:val="1"/>
      <w:tblStyleColBandSize w:val="1"/>
    </w:tblPr>
  </w:style>
  <w:style w:type="character" w:styleId="Rimandonotaapidipagina">
    <w:name w:val="footnote reference"/>
    <w:basedOn w:val="Carpredefinitoparagrafo"/>
    <w:uiPriority w:val="99"/>
    <w:semiHidden/>
    <w:unhideWhenUsed/>
    <w:rsid w:val="00A709CD"/>
    <w:rPr>
      <w:vertAlign w:val="superscript"/>
    </w:rPr>
  </w:style>
  <w:style w:type="table" w:customStyle="1" w:styleId="a9">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0">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3">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4">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7">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8">
    <w:basedOn w:val="TableNormal3"/>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a">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b">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d">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e">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0">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5">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7">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8">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naf.it/it/amministrazione-trasparente/disposizioni-generali/atti-generali/CodicedicomportamentoIstitutoNazionalediAstrofisicapdf.pdf/view"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SH7+Xi/FfmPk5Jjc2NzTFgI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JaC4zZHk2dmttMgloLjMwajB6bGwyCWguMXQzaDVzZjIJaC4xZm9iOXRlMgloLjRkMzRvZzgyCWguMnM4ZXlvMTIJaC4xN2RwOHZ1MgloLjN6bnlzaDcyCWguMmV0OTJwMDIOaC5lcmtudmJraWhsMmcyCWguM3JkY3JqbjIJaC4yNmluMXJnOAByITE2Tl8wMXZzYVl1bGFYYXFlUkFPRlVXekpJc3Z0bTd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3121</Words>
  <Characters>17793</Characters>
  <Application>Microsoft Office Word</Application>
  <DocSecurity>0</DocSecurity>
  <Lines>148</Lines>
  <Paragraphs>41</Paragraphs>
  <ScaleCrop>false</ScaleCrop>
  <Company/>
  <LinksUpToDate>false</LinksUpToDate>
  <CharactersWithSpaces>20873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erina pizzi</cp:lastModifiedBy>
  <cp:revision>4</cp:revision>
  <dcterms:created xsi:type="dcterms:W3CDTF">2025-04-24T08:32:00Z</dcterms:created>
  <dcterms:modified xsi:type="dcterms:W3CDTF">2025-10-02T09:10:00Z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0x010100777A26F539967D4F98503910BA4FFFD8</vt:lpwstr>
  </property>
  <property fmtid="{D5CDD505-2E9C-101B-9397-08002B2CF9AE}" pid="3" name="MediaServiceImageTags">
    <vt:lpwstr>MediaServiceImageTags</vt:lpwstr>
  </property>
</Properties>
</file>