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CC82" w14:textId="6A1A4987" w:rsidR="00274833" w:rsidRDefault="000B4CDF" w:rsidP="00274833">
      <w:pPr>
        <w:ind w:left="0" w:hanging="2"/>
        <w:jc w:val="both"/>
        <w:rPr>
          <w:rFonts w:ascii="Arial" w:hAnsi="Arial" w:cs="Arial"/>
          <w:b/>
          <w:bCs/>
        </w:rPr>
      </w:pPr>
      <w:r w:rsidRPr="005C7DEA">
        <w:rPr>
          <w:rFonts w:ascii="Arial" w:hAnsi="Arial" w:cs="Arial"/>
          <w:b/>
          <w:bCs/>
        </w:rPr>
        <w:t>SCHEMA OFFERTA ECONOMICA PER "</w:t>
      </w:r>
      <w:r w:rsidR="00274833">
        <w:rPr>
          <w:rFonts w:ascii="Arial" w:hAnsi="Arial" w:cs="Arial"/>
          <w:b/>
          <w:bCs/>
        </w:rPr>
        <w:t xml:space="preserve">PROCEDURA APERTA SOPRA SOGLIA COMUNITARIA    SU    PIATTAFORMA TELEMATICA U-BUY AI SENSI DELL’ART. 71 DEL DECRETO LEGISLATIVO N. 36/2023 E SS.MM.II. PER LA FORNITURA, INSTALLAZIONE E RESA OPERATIVA DI UNO ‘SPETTROMETRO A TRASFORMATA DI FOURIER (FT-IR) AD ALTA RISOLUZIONE, EVACUABILE E MODULARE,’’ CON    IL     CRITERIO    DELL’OFFERTA ECONOMICAMENTE  PIU’ VANTAGGIOSA,  SULLA    BASE  DEL  MIGLIOR  RAPPORTO QUALITA’/PREZZO,  PER IL PROGETTO DAL TITOLO “ EARTH-MOON-MARS", CODICE IDENTIFICATIVO: “IR0000038”, AREA ESFRI “PHYSICAL SCIENCE AND ENGINEERING", CODICE UNICO DI PROGETTO:  C53C22000870006,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556430FC" w14:textId="0D839DEE" w:rsidR="00274833" w:rsidRDefault="00274833" w:rsidP="00274833">
      <w:pPr>
        <w:ind w:leftChars="0" w:left="2" w:hanging="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CODICE DELLA PROCEDURA: EMM-INAF-B-0006</w:t>
      </w:r>
    </w:p>
    <w:p w14:paraId="7FB80F2E" w14:textId="77777777" w:rsidR="00274833" w:rsidRDefault="00274833" w:rsidP="00274833">
      <w:pPr>
        <w:ind w:leftChars="0" w:left="2" w:hanging="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CIG A022CDFC38</w:t>
      </w:r>
    </w:p>
    <w:p w14:paraId="2B6F7BF3" w14:textId="53C83F28" w:rsidR="000B4CDF" w:rsidRPr="000B4CDF" w:rsidRDefault="000B4CDF" w:rsidP="00274833">
      <w:pPr>
        <w:ind w:leftChars="0" w:left="0" w:firstLineChars="0" w:firstLine="0"/>
        <w:jc w:val="both"/>
        <w:rPr>
          <w:rFonts w:ascii="Titillium Web" w:hAnsi="Titillium Web"/>
          <w:b/>
          <w:sz w:val="21"/>
          <w:szCs w:val="21"/>
        </w:rPr>
      </w:pPr>
      <w:r>
        <w:rPr>
          <w:rFonts w:ascii="Titillium Web" w:hAnsi="Titillium Web"/>
          <w:b/>
          <w:sz w:val="21"/>
          <w:szCs w:val="21"/>
        </w:rPr>
        <w:t xml:space="preserve">L’ </w:t>
      </w:r>
      <w:r w:rsidRPr="00D956DB">
        <w:rPr>
          <w:rFonts w:ascii="Titillium Web" w:hAnsi="Titillium Web"/>
          <w:b/>
          <w:sz w:val="21"/>
          <w:szCs w:val="21"/>
        </w:rPr>
        <w:t>Offerta economica</w:t>
      </w:r>
      <w:r>
        <w:rPr>
          <w:rFonts w:ascii="Titillium Web" w:hAnsi="Titillium Web"/>
          <w:b/>
          <w:sz w:val="21"/>
          <w:szCs w:val="21"/>
        </w:rPr>
        <w:t xml:space="preserve"> deve indicare il prezzo offerto, la percentuale di ribasso </w:t>
      </w:r>
    </w:p>
    <w:tbl>
      <w:tblPr>
        <w:tblW w:w="92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3"/>
        <w:gridCol w:w="2448"/>
      </w:tblGrid>
      <w:tr w:rsidR="000B4CDF" w:rsidRPr="00D956DB" w14:paraId="261DB054" w14:textId="77777777" w:rsidTr="0019712D">
        <w:trPr>
          <w:trHeight w:val="297"/>
        </w:trPr>
        <w:tc>
          <w:tcPr>
            <w:tcW w:w="6773" w:type="dxa"/>
            <w:shd w:val="clear" w:color="auto" w:fill="81D0EF"/>
          </w:tcPr>
          <w:p w14:paraId="2F7B2038" w14:textId="77777777" w:rsidR="000B4CDF" w:rsidRPr="00D956DB" w:rsidRDefault="000B4CDF" w:rsidP="0019712D">
            <w:pPr>
              <w:widowControl w:val="0"/>
              <w:spacing w:line="240" w:lineRule="auto"/>
              <w:ind w:left="0" w:right="-749" w:hanging="2"/>
              <w:jc w:val="both"/>
              <w:rPr>
                <w:rFonts w:ascii="Titillium Web" w:hAnsi="Titillium Web"/>
                <w:color w:val="000009"/>
                <w:sz w:val="21"/>
                <w:szCs w:val="21"/>
              </w:rPr>
            </w:pPr>
            <w:r w:rsidRPr="00D956DB">
              <w:rPr>
                <w:rFonts w:ascii="Titillium Web" w:hAnsi="Titillium Web" w:cs="Times New Roman"/>
                <w:bCs/>
                <w:color w:val="000000" w:themeColor="text1"/>
                <w:sz w:val="21"/>
                <w:szCs w:val="21"/>
              </w:rPr>
              <w:t>Descrizione</w:t>
            </w:r>
          </w:p>
        </w:tc>
        <w:tc>
          <w:tcPr>
            <w:tcW w:w="2448" w:type="dxa"/>
            <w:shd w:val="clear" w:color="auto" w:fill="81D0EF"/>
          </w:tcPr>
          <w:p w14:paraId="218FD651" w14:textId="77777777" w:rsidR="000B4CDF" w:rsidRPr="00D956DB" w:rsidRDefault="000B4CDF" w:rsidP="0019712D">
            <w:pPr>
              <w:widowControl w:val="0"/>
              <w:spacing w:line="240" w:lineRule="auto"/>
              <w:ind w:left="0" w:right="-749" w:hanging="2"/>
              <w:rPr>
                <w:rFonts w:ascii="Titillium Web" w:hAnsi="Titillium Web"/>
                <w:color w:val="000009"/>
                <w:sz w:val="21"/>
                <w:szCs w:val="21"/>
              </w:rPr>
            </w:pPr>
            <w:r w:rsidRPr="00D956DB">
              <w:rPr>
                <w:rFonts w:ascii="Titillium Web" w:hAnsi="Titillium Web"/>
                <w:color w:val="000009"/>
                <w:sz w:val="21"/>
                <w:szCs w:val="21"/>
              </w:rPr>
              <w:t>Prezzo (in €, IVA esclusa)</w:t>
            </w:r>
          </w:p>
        </w:tc>
      </w:tr>
      <w:tr w:rsidR="000B4CDF" w:rsidRPr="00D956DB" w14:paraId="57B7B957" w14:textId="77777777" w:rsidTr="005C7DEA">
        <w:trPr>
          <w:trHeight w:val="667"/>
        </w:trPr>
        <w:tc>
          <w:tcPr>
            <w:tcW w:w="6773" w:type="dxa"/>
          </w:tcPr>
          <w:p w14:paraId="5C024441" w14:textId="3AC65476" w:rsidR="000B4CDF" w:rsidRPr="000B4CDF" w:rsidRDefault="000B4CDF" w:rsidP="005C7DEA">
            <w:pPr>
              <w:pStyle w:val="Paragrafoelenco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tillium Web" w:hAnsi="Titillium Web"/>
                <w:b/>
                <w:bCs/>
                <w:color w:val="000009"/>
                <w:sz w:val="21"/>
                <w:szCs w:val="21"/>
              </w:rPr>
            </w:pPr>
            <w:r>
              <w:rPr>
                <w:rFonts w:ascii="Titillium Web" w:hAnsi="Titillium Web"/>
                <w:color w:val="000009"/>
                <w:sz w:val="21"/>
                <w:szCs w:val="21"/>
              </w:rPr>
              <w:t xml:space="preserve"> </w:t>
            </w:r>
          </w:p>
        </w:tc>
        <w:tc>
          <w:tcPr>
            <w:tcW w:w="2448" w:type="dxa"/>
          </w:tcPr>
          <w:p w14:paraId="5E01653A" w14:textId="77777777" w:rsidR="000B4CDF" w:rsidRPr="00D956DB" w:rsidRDefault="000B4CDF" w:rsidP="005C7DEA">
            <w:pPr>
              <w:widowControl w:val="0"/>
              <w:spacing w:after="0" w:line="240" w:lineRule="auto"/>
              <w:ind w:leftChars="0" w:left="2" w:right="1318" w:hanging="2"/>
              <w:jc w:val="right"/>
              <w:rPr>
                <w:rFonts w:ascii="Titillium Web" w:hAnsi="Titillium Web" w:cs="Times New Roman"/>
                <w:b/>
                <w:color w:val="000000"/>
                <w:sz w:val="21"/>
                <w:szCs w:val="21"/>
                <w:highlight w:val="yellow"/>
              </w:rPr>
            </w:pPr>
          </w:p>
          <w:p w14:paraId="76954652" w14:textId="77777777" w:rsidR="000B4CDF" w:rsidRPr="00D956DB" w:rsidRDefault="000B4CDF" w:rsidP="005C7DEA">
            <w:pPr>
              <w:widowControl w:val="0"/>
              <w:spacing w:after="0" w:line="240" w:lineRule="auto"/>
              <w:ind w:leftChars="0" w:left="2" w:right="1318" w:hanging="2"/>
              <w:jc w:val="right"/>
              <w:rPr>
                <w:rFonts w:ascii="Titillium Web" w:hAnsi="Titillium Web"/>
                <w:color w:val="000009"/>
                <w:sz w:val="21"/>
                <w:szCs w:val="21"/>
                <w:highlight w:val="yellow"/>
              </w:rPr>
            </w:pPr>
          </w:p>
        </w:tc>
      </w:tr>
      <w:tr w:rsidR="000B4CDF" w:rsidRPr="005C7DEA" w14:paraId="71B42BE8" w14:textId="77777777" w:rsidTr="005C7DEA">
        <w:trPr>
          <w:trHeight w:val="562"/>
        </w:trPr>
        <w:tc>
          <w:tcPr>
            <w:tcW w:w="6773" w:type="dxa"/>
          </w:tcPr>
          <w:p w14:paraId="5562DB35" w14:textId="354C619D" w:rsidR="000B4CDF" w:rsidRPr="00251049" w:rsidRDefault="000B4CDF" w:rsidP="005C7DEA">
            <w:pPr>
              <w:pStyle w:val="Paragrafoelenco"/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Titillium Web" w:hAnsi="Titillium Web"/>
                <w:color w:val="000009"/>
                <w:sz w:val="21"/>
                <w:szCs w:val="21"/>
              </w:rPr>
            </w:pPr>
          </w:p>
        </w:tc>
        <w:tc>
          <w:tcPr>
            <w:tcW w:w="2448" w:type="dxa"/>
          </w:tcPr>
          <w:p w14:paraId="4C80511A" w14:textId="77777777" w:rsidR="000B4CDF" w:rsidRPr="005C7DEA" w:rsidRDefault="000B4CDF" w:rsidP="005C7DEA">
            <w:pPr>
              <w:pStyle w:val="Paragrafoelenco"/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Titillium Web" w:hAnsi="Titillium Web"/>
                <w:color w:val="000009"/>
                <w:sz w:val="21"/>
                <w:szCs w:val="21"/>
              </w:rPr>
            </w:pPr>
          </w:p>
        </w:tc>
      </w:tr>
      <w:tr w:rsidR="005C7DEA" w:rsidRPr="00D956DB" w14:paraId="7218ED82" w14:textId="77777777" w:rsidTr="001F5E4C">
        <w:trPr>
          <w:trHeight w:val="315"/>
        </w:trPr>
        <w:tc>
          <w:tcPr>
            <w:tcW w:w="6773" w:type="dxa"/>
          </w:tcPr>
          <w:p w14:paraId="4CAEC197" w14:textId="4D0592C7" w:rsidR="005C7DEA" w:rsidRPr="0007774B" w:rsidRDefault="005C7DEA" w:rsidP="005C7DEA">
            <w:pPr>
              <w:widowControl w:val="0"/>
              <w:tabs>
                <w:tab w:val="left" w:pos="756"/>
              </w:tabs>
              <w:spacing w:line="240" w:lineRule="auto"/>
              <w:ind w:left="0" w:right="-36" w:hanging="2"/>
              <w:jc w:val="right"/>
              <w:rPr>
                <w:rFonts w:ascii="Titillium Web" w:hAnsi="Titillium Web"/>
                <w:b/>
                <w:sz w:val="21"/>
                <w:szCs w:val="21"/>
              </w:rPr>
            </w:pPr>
            <w:r w:rsidRPr="00D956DB">
              <w:rPr>
                <w:rFonts w:ascii="Titillium Web" w:hAnsi="Titillium Web"/>
                <w:color w:val="000009"/>
                <w:sz w:val="21"/>
                <w:szCs w:val="21"/>
              </w:rPr>
              <w:t xml:space="preserve">TOTALE </w:t>
            </w:r>
          </w:p>
        </w:tc>
        <w:tc>
          <w:tcPr>
            <w:tcW w:w="2448" w:type="dxa"/>
          </w:tcPr>
          <w:p w14:paraId="67458C01" w14:textId="77777777" w:rsidR="005C7DEA" w:rsidRPr="00D956DB" w:rsidRDefault="005C7DEA" w:rsidP="005C7DEA">
            <w:pPr>
              <w:widowControl w:val="0"/>
              <w:spacing w:line="240" w:lineRule="auto"/>
              <w:ind w:left="0" w:right="1318" w:hanging="2"/>
              <w:jc w:val="right"/>
              <w:rPr>
                <w:rFonts w:ascii="Titillium Web" w:hAnsi="Titillium Web"/>
                <w:b/>
                <w:color w:val="000009"/>
                <w:sz w:val="21"/>
                <w:szCs w:val="21"/>
                <w:highlight w:val="yellow"/>
              </w:rPr>
            </w:pPr>
          </w:p>
        </w:tc>
      </w:tr>
      <w:tr w:rsidR="005C7DEA" w:rsidRPr="00D956DB" w14:paraId="1665CB9E" w14:textId="77777777" w:rsidTr="001F5E4C">
        <w:trPr>
          <w:trHeight w:val="315"/>
        </w:trPr>
        <w:tc>
          <w:tcPr>
            <w:tcW w:w="6773" w:type="dxa"/>
            <w:vAlign w:val="center"/>
          </w:tcPr>
          <w:p w14:paraId="5A03EFAB" w14:textId="5A411B74" w:rsidR="005C7DEA" w:rsidRPr="00D956DB" w:rsidRDefault="005C7DEA" w:rsidP="005C7DEA">
            <w:pPr>
              <w:widowControl w:val="0"/>
              <w:tabs>
                <w:tab w:val="left" w:pos="756"/>
              </w:tabs>
              <w:spacing w:line="240" w:lineRule="auto"/>
              <w:ind w:left="0" w:right="-36" w:hanging="2"/>
              <w:jc w:val="right"/>
              <w:rPr>
                <w:rFonts w:ascii="Titillium Web" w:hAnsi="Titillium Web"/>
                <w:color w:val="000009"/>
                <w:sz w:val="21"/>
                <w:szCs w:val="21"/>
              </w:rPr>
            </w:pPr>
            <w:r w:rsidRPr="0007774B">
              <w:rPr>
                <w:rFonts w:ascii="Titillium Web" w:hAnsi="Titillium Web"/>
                <w:b/>
                <w:sz w:val="21"/>
                <w:szCs w:val="21"/>
              </w:rPr>
              <w:t xml:space="preserve">Oneri per la sicurezza </w:t>
            </w:r>
            <w:r>
              <w:rPr>
                <w:rFonts w:ascii="Titillium Web" w:hAnsi="Titillium Web"/>
                <w:b/>
                <w:sz w:val="21"/>
                <w:szCs w:val="21"/>
              </w:rPr>
              <w:t>aziendali</w:t>
            </w:r>
            <w:r w:rsidRPr="0007774B">
              <w:rPr>
                <w:rFonts w:ascii="Titillium Web" w:hAnsi="Titillium Web"/>
                <w:b/>
                <w:sz w:val="21"/>
                <w:szCs w:val="21"/>
              </w:rPr>
              <w:t xml:space="preserve"> (Safety expenses)</w:t>
            </w:r>
            <w:r>
              <w:rPr>
                <w:rFonts w:ascii="Titillium Web" w:hAnsi="Titillium Web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48" w:type="dxa"/>
          </w:tcPr>
          <w:p w14:paraId="640E5F2A" w14:textId="77777777" w:rsidR="005C7DEA" w:rsidRPr="00D956DB" w:rsidRDefault="005C7DEA" w:rsidP="005C7DEA">
            <w:pPr>
              <w:widowControl w:val="0"/>
              <w:spacing w:line="240" w:lineRule="auto"/>
              <w:ind w:left="0" w:right="1318" w:hanging="2"/>
              <w:jc w:val="right"/>
              <w:rPr>
                <w:rFonts w:ascii="Titillium Web" w:hAnsi="Titillium Web"/>
                <w:b/>
                <w:color w:val="000009"/>
                <w:sz w:val="21"/>
                <w:szCs w:val="21"/>
                <w:highlight w:val="yellow"/>
              </w:rPr>
            </w:pPr>
          </w:p>
        </w:tc>
      </w:tr>
    </w:tbl>
    <w:p w14:paraId="791E9588" w14:textId="5AB666B5" w:rsidR="000B4CDF" w:rsidRPr="00D956DB" w:rsidRDefault="000B4CDF" w:rsidP="000B4CDF">
      <w:pPr>
        <w:widowControl w:val="0"/>
        <w:tabs>
          <w:tab w:val="left" w:pos="756"/>
        </w:tabs>
        <w:spacing w:line="240" w:lineRule="auto"/>
        <w:ind w:left="0" w:right="566" w:hanging="2"/>
        <w:jc w:val="both"/>
        <w:rPr>
          <w:rFonts w:ascii="Titillium Web" w:hAnsi="Titillium Web"/>
          <w:sz w:val="21"/>
          <w:szCs w:val="21"/>
        </w:rPr>
      </w:pPr>
      <w:r w:rsidRPr="00251049">
        <w:rPr>
          <w:rFonts w:ascii="Titillium Web" w:hAnsi="Titillium Web"/>
          <w:sz w:val="21"/>
          <w:szCs w:val="21"/>
          <w:vertAlign w:val="superscript"/>
        </w:rPr>
        <w:t xml:space="preserve">(*) </w:t>
      </w:r>
      <w:r w:rsidRPr="00D956DB">
        <w:rPr>
          <w:rFonts w:ascii="Titillium Web" w:hAnsi="Titillium Web"/>
          <w:sz w:val="21"/>
          <w:szCs w:val="21"/>
        </w:rPr>
        <w:t xml:space="preserve">Sarà in ogni caso garantito il pagamento delle sole spese autorizzate, certificate e realmente sostenute dalla ditta. </w:t>
      </w:r>
    </w:p>
    <w:p w14:paraId="22BD0A43" w14:textId="0EC70DAE" w:rsidR="000B4CDF" w:rsidRDefault="000B4CDF" w:rsidP="005C7DEA">
      <w:pPr>
        <w:ind w:left="0" w:right="-749" w:hanging="2"/>
        <w:jc w:val="center"/>
        <w:rPr>
          <w:rFonts w:ascii="Titillium Web" w:hAnsi="Titillium Web"/>
          <w:b/>
          <w:sz w:val="21"/>
          <w:szCs w:val="21"/>
        </w:rPr>
      </w:pPr>
      <w:r w:rsidRPr="00D956DB">
        <w:rPr>
          <w:rFonts w:ascii="Titillium Web" w:hAnsi="Titillium Web"/>
          <w:b/>
          <w:sz w:val="21"/>
          <w:szCs w:val="21"/>
        </w:rPr>
        <w:t xml:space="preserve">Prezzo totale = </w:t>
      </w:r>
      <w:r>
        <w:rPr>
          <w:rFonts w:ascii="Titillium Web" w:hAnsi="Titillium Web"/>
          <w:b/>
          <w:sz w:val="21"/>
          <w:szCs w:val="21"/>
        </w:rPr>
        <w:t>…………………………</w:t>
      </w:r>
      <w:r w:rsidRPr="00D956DB">
        <w:rPr>
          <w:rFonts w:ascii="Titillium Web" w:hAnsi="Titillium Web"/>
          <w:b/>
          <w:sz w:val="21"/>
          <w:szCs w:val="21"/>
        </w:rPr>
        <w:t xml:space="preserve">€ </w:t>
      </w:r>
      <w:r>
        <w:rPr>
          <w:rFonts w:ascii="Titillium Web" w:hAnsi="Titillium Web"/>
          <w:b/>
          <w:sz w:val="21"/>
          <w:szCs w:val="21"/>
        </w:rPr>
        <w:t xml:space="preserve">+ </w:t>
      </w:r>
      <w:r w:rsidRPr="00D956DB">
        <w:rPr>
          <w:rFonts w:ascii="Titillium Web" w:hAnsi="Titillium Web"/>
          <w:b/>
          <w:sz w:val="21"/>
          <w:szCs w:val="21"/>
        </w:rPr>
        <w:t xml:space="preserve">IVA </w:t>
      </w:r>
    </w:p>
    <w:p w14:paraId="337408BC" w14:textId="4C67DBD5" w:rsidR="000B4CDF" w:rsidRDefault="005C7DEA" w:rsidP="005C7DEA">
      <w:pPr>
        <w:ind w:leftChars="0" w:left="2880" w:right="-749" w:firstLineChars="0" w:firstLine="0"/>
        <w:rPr>
          <w:rFonts w:ascii="Titillium Web" w:hAnsi="Titillium Web"/>
          <w:b/>
          <w:sz w:val="21"/>
          <w:szCs w:val="21"/>
        </w:rPr>
      </w:pPr>
      <w:r>
        <w:rPr>
          <w:rFonts w:ascii="Titillium Web" w:hAnsi="Titillium Web"/>
          <w:b/>
          <w:sz w:val="21"/>
          <w:szCs w:val="21"/>
        </w:rPr>
        <w:t xml:space="preserve">         </w:t>
      </w:r>
      <w:r w:rsidR="000B4CDF">
        <w:rPr>
          <w:rFonts w:ascii="Titillium Web" w:hAnsi="Titillium Web"/>
          <w:b/>
          <w:sz w:val="21"/>
          <w:szCs w:val="21"/>
        </w:rPr>
        <w:t>Percentuale di ribasso % rispetto al prezzo posto a base di gara</w:t>
      </w:r>
    </w:p>
    <w:p w14:paraId="27945CC9" w14:textId="76325C6D" w:rsidR="000B4CDF" w:rsidRDefault="000B4CDF" w:rsidP="000B4CDF">
      <w:pPr>
        <w:ind w:left="0" w:right="-749" w:hanging="2"/>
        <w:jc w:val="center"/>
      </w:pPr>
      <w:r>
        <w:rPr>
          <w:rFonts w:ascii="Titillium Web" w:hAnsi="Titillium Web"/>
          <w:b/>
          <w:sz w:val="21"/>
          <w:szCs w:val="21"/>
        </w:rPr>
        <w:t>Firmato digitalmente</w:t>
      </w:r>
    </w:p>
    <w:p w14:paraId="472137B3" w14:textId="77777777" w:rsidR="00FD7717" w:rsidRPr="00730C3A" w:rsidRDefault="00FD7717" w:rsidP="00730C3A">
      <w:pPr>
        <w:ind w:left="0" w:hanging="2"/>
      </w:pPr>
    </w:p>
    <w:sectPr w:rsidR="00FD7717" w:rsidRPr="00730C3A" w:rsidSect="00DB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AFD" w14:textId="77777777" w:rsidR="00DB5423" w:rsidRDefault="00DB54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67C619" w14:textId="77777777" w:rsidR="00DB5423" w:rsidRDefault="00DB54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4A4" w14:textId="77777777" w:rsidR="00DB5423" w:rsidRDefault="00DB542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3AC7" w14:textId="77777777" w:rsidR="00FD7717" w:rsidRDefault="00DB54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E1AAED9" w14:textId="77777777" w:rsidR="00FD7717" w:rsidRDefault="00FD77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7F26" w14:textId="77777777" w:rsidR="00DB5423" w:rsidRDefault="00DB542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6011" w14:textId="77777777" w:rsidR="00DB5423" w:rsidRDefault="00DB54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9BB09C" w14:textId="77777777" w:rsidR="00DB5423" w:rsidRDefault="00DB54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7A64" w14:textId="77777777" w:rsidR="00DB5423" w:rsidRDefault="00DB542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9C01" w14:textId="66C743ED" w:rsidR="00FD7717" w:rsidRDefault="00DB5423" w:rsidP="00DB54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-452" w:left="-992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120C0DFE" wp14:editId="336C8F6E">
          <wp:extent cx="7315835" cy="1926590"/>
          <wp:effectExtent l="0" t="0" r="0" b="0"/>
          <wp:docPr id="517389852" name="Immagine 517389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92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14:paraId="1A6D8518" w14:textId="77777777" w:rsidR="00FD7717" w:rsidRDefault="00FD77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34B2" w14:textId="77777777" w:rsidR="00DB5423" w:rsidRDefault="00DB542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44B"/>
    <w:multiLevelType w:val="multilevel"/>
    <w:tmpl w:val="76BCA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9079F3"/>
    <w:multiLevelType w:val="multilevel"/>
    <w:tmpl w:val="52FAB984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B17300"/>
    <w:multiLevelType w:val="hybridMultilevel"/>
    <w:tmpl w:val="EEA0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07509">
    <w:abstractNumId w:val="0"/>
  </w:num>
  <w:num w:numId="2" w16cid:durableId="293414862">
    <w:abstractNumId w:val="1"/>
  </w:num>
  <w:num w:numId="3" w16cid:durableId="148061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17"/>
    <w:rsid w:val="000B4CDF"/>
    <w:rsid w:val="00274833"/>
    <w:rsid w:val="005C7DEA"/>
    <w:rsid w:val="00730C3A"/>
    <w:rsid w:val="007632EE"/>
    <w:rsid w:val="00DB5423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C1A0F"/>
  <w15:docId w15:val="{3DFD2313-1B89-49CE-98BC-52F8428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/>
    </w:rPr>
  </w:style>
  <w:style w:type="character" w:customStyle="1" w:styleId="Titolo2Carattere">
    <w:name w:val="Titolo 2 Carattere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UBzoZaWcn1p60i2hZg8gU82fA==">CgMxLjAyCGguZ2pkZ3hzOAByITFaNmlCcng2djdVQXNIZkVYdWdOQmpTQlRFUVEyVUZzXw==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erina pizzi</cp:lastModifiedBy>
  <cp:revision>5</cp:revision>
  <dcterms:created xsi:type="dcterms:W3CDTF">2023-10-20T10:15:00Z</dcterms:created>
  <dcterms:modified xsi:type="dcterms:W3CDTF">2023-10-25T13:04:00Z</dcterms:modified>
</cp:coreProperties>
</file>