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BE6B" w14:textId="77777777" w:rsidR="0012688C" w:rsidRDefault="0012688C">
      <w:pPr>
        <w:ind w:left="0" w:right="424" w:hanging="2"/>
        <w:rPr>
          <w:rFonts w:ascii="Titillium Web" w:eastAsia="Titillium Web" w:hAnsi="Titillium Web" w:cs="Titillium Web"/>
          <w:sz w:val="22"/>
          <w:szCs w:val="22"/>
        </w:rPr>
      </w:pPr>
    </w:p>
    <w:p w14:paraId="7B0CF6EF" w14:textId="77777777" w:rsidR="0012688C" w:rsidRDefault="00BF09C0">
      <w:pPr>
        <w:ind w:left="0" w:right="424" w:hanging="2"/>
        <w:rPr>
          <w:rFonts w:ascii="Titillium Web" w:eastAsia="Titillium Web" w:hAnsi="Titillium Web" w:cs="Titillium Web"/>
          <w:sz w:val="24"/>
          <w:szCs w:val="24"/>
        </w:rPr>
      </w:pPr>
      <w:r>
        <w:rPr>
          <w:rFonts w:ascii="Titillium Web" w:eastAsia="Titillium Web" w:hAnsi="Titillium Web" w:cs="Titillium Web"/>
          <w:sz w:val="24"/>
          <w:szCs w:val="24"/>
        </w:rPr>
        <w:t>Dichiarazione assolvimento obblighi assunzionali</w:t>
      </w:r>
    </w:p>
    <w:p w14:paraId="3B6A2B35" w14:textId="77777777" w:rsidR="0012688C" w:rsidRDefault="0012688C">
      <w:pPr>
        <w:pBdr>
          <w:top w:val="nil"/>
          <w:left w:val="nil"/>
          <w:bottom w:val="nil"/>
          <w:right w:val="nil"/>
          <w:between w:val="nil"/>
        </w:pBdr>
        <w:spacing w:line="240" w:lineRule="auto"/>
        <w:ind w:left="0" w:hanging="2"/>
        <w:jc w:val="both"/>
        <w:rPr>
          <w:rFonts w:ascii="Arial" w:eastAsia="Arial" w:hAnsi="Arial" w:cs="Arial"/>
          <w:smallCaps/>
          <w:sz w:val="24"/>
          <w:szCs w:val="24"/>
        </w:rPr>
      </w:pPr>
    </w:p>
    <w:p w14:paraId="76DEDE66" w14:textId="77777777" w:rsidR="00BF09C0" w:rsidRPr="00BF09C0" w:rsidRDefault="00BF09C0" w:rsidP="00BF09C0">
      <w:pPr>
        <w:pBdr>
          <w:top w:val="nil"/>
          <w:left w:val="nil"/>
          <w:bottom w:val="nil"/>
          <w:right w:val="nil"/>
          <w:between w:val="nil"/>
        </w:pBdr>
        <w:spacing w:line="240" w:lineRule="auto"/>
        <w:ind w:leftChars="2125" w:left="4252" w:hanging="2"/>
        <w:jc w:val="both"/>
        <w:rPr>
          <w:rFonts w:ascii="Titillium Web" w:eastAsia="Titillium Web" w:hAnsi="Titillium Web" w:cs="Titillium Web"/>
          <w:sz w:val="22"/>
          <w:szCs w:val="22"/>
        </w:rPr>
      </w:pPr>
      <w:r w:rsidRPr="00BF09C0">
        <w:rPr>
          <w:rFonts w:ascii="Titillium Web" w:eastAsia="Titillium Web" w:hAnsi="Titillium Web" w:cs="Titillium Web"/>
          <w:sz w:val="22"/>
          <w:szCs w:val="22"/>
        </w:rPr>
        <w:t xml:space="preserve">Spett.le </w:t>
      </w:r>
    </w:p>
    <w:p w14:paraId="5F06DF25" w14:textId="77777777" w:rsidR="00BF09C0" w:rsidRPr="00BF09C0" w:rsidRDefault="00BF09C0" w:rsidP="00BF09C0">
      <w:pPr>
        <w:pBdr>
          <w:top w:val="nil"/>
          <w:left w:val="nil"/>
          <w:bottom w:val="nil"/>
          <w:right w:val="nil"/>
          <w:between w:val="nil"/>
        </w:pBdr>
        <w:spacing w:line="240" w:lineRule="auto"/>
        <w:ind w:leftChars="2125" w:left="4252" w:hanging="2"/>
        <w:jc w:val="both"/>
        <w:rPr>
          <w:rFonts w:ascii="Titillium Web" w:eastAsia="Titillium Web" w:hAnsi="Titillium Web" w:cs="Titillium Web"/>
          <w:sz w:val="22"/>
          <w:szCs w:val="22"/>
        </w:rPr>
      </w:pPr>
      <w:r w:rsidRPr="00BF09C0">
        <w:rPr>
          <w:rFonts w:ascii="Titillium Web" w:eastAsia="Titillium Web" w:hAnsi="Titillium Web" w:cs="Titillium Web"/>
          <w:sz w:val="22"/>
          <w:szCs w:val="22"/>
        </w:rPr>
        <w:t>INAF-ISTITUTO DI ASTROFISICA E PLANETOLOGIA SPAZIALI</w:t>
      </w:r>
    </w:p>
    <w:p w14:paraId="25AB8475" w14:textId="77777777" w:rsidR="00BF09C0" w:rsidRPr="00BF09C0" w:rsidRDefault="00BF09C0" w:rsidP="00BF09C0">
      <w:pPr>
        <w:pBdr>
          <w:top w:val="nil"/>
          <w:left w:val="nil"/>
          <w:bottom w:val="nil"/>
          <w:right w:val="nil"/>
          <w:between w:val="nil"/>
        </w:pBdr>
        <w:spacing w:line="240" w:lineRule="auto"/>
        <w:ind w:left="0" w:hanging="2"/>
        <w:jc w:val="both"/>
        <w:rPr>
          <w:rFonts w:ascii="Titillium Web" w:eastAsia="Titillium Web" w:hAnsi="Titillium Web" w:cs="Titillium Web"/>
          <w:sz w:val="22"/>
          <w:szCs w:val="22"/>
        </w:rPr>
      </w:pPr>
    </w:p>
    <w:p w14:paraId="40053334" w14:textId="77777777" w:rsidR="00BF09C0" w:rsidRPr="00BF09C0" w:rsidRDefault="00BF09C0" w:rsidP="00BF09C0">
      <w:pPr>
        <w:pBdr>
          <w:top w:val="nil"/>
          <w:left w:val="nil"/>
          <w:bottom w:val="nil"/>
          <w:right w:val="nil"/>
          <w:between w:val="nil"/>
        </w:pBdr>
        <w:spacing w:line="240" w:lineRule="auto"/>
        <w:ind w:left="0" w:hanging="2"/>
        <w:jc w:val="both"/>
        <w:rPr>
          <w:rFonts w:ascii="Titillium Web" w:eastAsia="Titillium Web" w:hAnsi="Titillium Web" w:cs="Titillium Web"/>
          <w:sz w:val="22"/>
          <w:szCs w:val="22"/>
        </w:rPr>
      </w:pPr>
      <w:r w:rsidRPr="00BF09C0">
        <w:rPr>
          <w:rFonts w:ascii="Titillium Web" w:eastAsia="Titillium Web" w:hAnsi="Titillium Web" w:cs="Titillium Web"/>
          <w:sz w:val="22"/>
          <w:szCs w:val="22"/>
        </w:rPr>
        <w:t xml:space="preserve">OGGETTO: PROCEDURA APERTA SOPRA SOGLIA COMUNITARIA    SU    PIATTAFORMA TELEMATICA U-BUY AI SENSI DELL’ART. 71 DEL DECRETO LEGISLATIVO N. 36/2023 E SS.MM.II. PER LA FORNITURA, INSTALLAZIONE E RESA OPERATIVA DI UNO ‘SPETTROMETRO A TRASFORMATA DI FOURIER (FT-IR) AD ALTA RISOLUZIONE, EVACUABILE E MODULARE,’’ CON    IL     CRITERIO    DELL’OFFERTA ECONOMICAMENTE  PIU’ VANTAGGIOSA,  SULLA    BASE  DEL  MIGLIOR  RAPPORTO QUALITA’/PREZZO,  PER IL PROGETTO DAL TITOLO “ EARTH-MOON-MARS", CODICE IDENTIFICATIVO: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228A1C4C" w14:textId="77777777" w:rsidR="00BF09C0" w:rsidRPr="00BF09C0" w:rsidRDefault="00BF09C0" w:rsidP="00BF09C0">
      <w:pPr>
        <w:pBdr>
          <w:top w:val="nil"/>
          <w:left w:val="nil"/>
          <w:bottom w:val="nil"/>
          <w:right w:val="nil"/>
          <w:between w:val="nil"/>
        </w:pBdr>
        <w:spacing w:line="240" w:lineRule="auto"/>
        <w:ind w:left="0" w:hanging="2"/>
        <w:jc w:val="both"/>
        <w:rPr>
          <w:rFonts w:ascii="Titillium Web" w:eastAsia="Titillium Web" w:hAnsi="Titillium Web" w:cs="Titillium Web"/>
          <w:sz w:val="22"/>
          <w:szCs w:val="22"/>
        </w:rPr>
      </w:pPr>
      <w:r w:rsidRPr="00BF09C0">
        <w:rPr>
          <w:rFonts w:ascii="Titillium Web" w:eastAsia="Titillium Web" w:hAnsi="Titillium Web" w:cs="Titillium Web"/>
          <w:sz w:val="22"/>
          <w:szCs w:val="22"/>
        </w:rPr>
        <w:t>CIG A022CDFC38</w:t>
      </w:r>
    </w:p>
    <w:p w14:paraId="276C5140" w14:textId="77777777" w:rsidR="00BF09C0" w:rsidRPr="00BF09C0" w:rsidRDefault="00BF09C0" w:rsidP="00BF09C0">
      <w:pPr>
        <w:pBdr>
          <w:top w:val="nil"/>
          <w:left w:val="nil"/>
          <w:bottom w:val="nil"/>
          <w:right w:val="nil"/>
          <w:between w:val="nil"/>
        </w:pBdr>
        <w:spacing w:line="240" w:lineRule="auto"/>
        <w:ind w:left="0" w:hanging="2"/>
        <w:jc w:val="both"/>
        <w:rPr>
          <w:rFonts w:ascii="Titillium Web" w:eastAsia="Titillium Web" w:hAnsi="Titillium Web" w:cs="Titillium Web"/>
          <w:sz w:val="22"/>
          <w:szCs w:val="22"/>
        </w:rPr>
      </w:pPr>
      <w:r w:rsidRPr="00BF09C0">
        <w:rPr>
          <w:rFonts w:ascii="Titillium Web" w:eastAsia="Titillium Web" w:hAnsi="Titillium Web" w:cs="Titillium Web"/>
          <w:sz w:val="22"/>
          <w:szCs w:val="22"/>
        </w:rPr>
        <w:t>CODICE DELLA PROCEDURA: EMM-INAF-B-0006</w:t>
      </w:r>
    </w:p>
    <w:p w14:paraId="4380A875" w14:textId="77777777" w:rsidR="0012688C" w:rsidRDefault="0012688C">
      <w:pPr>
        <w:pBdr>
          <w:top w:val="nil"/>
          <w:left w:val="nil"/>
          <w:bottom w:val="nil"/>
          <w:right w:val="nil"/>
          <w:between w:val="nil"/>
        </w:pBdr>
        <w:spacing w:line="240" w:lineRule="auto"/>
        <w:ind w:left="0" w:hanging="2"/>
        <w:jc w:val="both"/>
        <w:rPr>
          <w:rFonts w:ascii="Arial" w:eastAsia="Arial" w:hAnsi="Arial" w:cs="Arial"/>
          <w:smallCaps/>
          <w:sz w:val="24"/>
          <w:szCs w:val="24"/>
        </w:rPr>
      </w:pPr>
    </w:p>
    <w:p w14:paraId="39CB6DA4"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C39FDF3"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tbl>
      <w:tblPr>
        <w:tblStyle w:val="a3"/>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35"/>
        <w:gridCol w:w="6457"/>
      </w:tblGrid>
      <w:tr w:rsidR="0012688C" w14:paraId="01D48CC8" w14:textId="77777777">
        <w:trPr>
          <w:jc w:val="center"/>
        </w:trPr>
        <w:tc>
          <w:tcPr>
            <w:tcW w:w="3397" w:type="dxa"/>
            <w:gridSpan w:val="2"/>
          </w:tcPr>
          <w:p w14:paraId="67D03728" w14:textId="77777777" w:rsidR="0012688C" w:rsidRDefault="00BF09C0">
            <w:pPr>
              <w:pBdr>
                <w:top w:val="nil"/>
                <w:left w:val="nil"/>
                <w:bottom w:val="nil"/>
                <w:right w:val="nil"/>
                <w:between w:val="nil"/>
              </w:pBdr>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t>Il sottoscritto</w:t>
            </w:r>
          </w:p>
        </w:tc>
        <w:tc>
          <w:tcPr>
            <w:tcW w:w="6457" w:type="dxa"/>
          </w:tcPr>
          <w:p w14:paraId="39E0D83E" w14:textId="77777777" w:rsidR="0012688C" w:rsidRDefault="0012688C">
            <w:pPr>
              <w:pBdr>
                <w:top w:val="nil"/>
                <w:left w:val="nil"/>
                <w:bottom w:val="nil"/>
                <w:right w:val="nil"/>
                <w:between w:val="nil"/>
              </w:pBdr>
              <w:ind w:left="0" w:right="424" w:hanging="2"/>
              <w:jc w:val="both"/>
              <w:rPr>
                <w:rFonts w:ascii="Titillium Web" w:eastAsia="Titillium Web" w:hAnsi="Titillium Web" w:cs="Titillium Web"/>
                <w:sz w:val="22"/>
                <w:szCs w:val="22"/>
              </w:rPr>
            </w:pPr>
          </w:p>
        </w:tc>
      </w:tr>
      <w:tr w:rsidR="0012688C" w14:paraId="0822DE3F" w14:textId="77777777">
        <w:trPr>
          <w:jc w:val="center"/>
        </w:trPr>
        <w:tc>
          <w:tcPr>
            <w:tcW w:w="3397" w:type="dxa"/>
            <w:gridSpan w:val="2"/>
          </w:tcPr>
          <w:p w14:paraId="5229885B" w14:textId="77777777" w:rsidR="0012688C" w:rsidRDefault="00BF09C0">
            <w:pPr>
              <w:pBdr>
                <w:top w:val="nil"/>
                <w:left w:val="nil"/>
                <w:bottom w:val="nil"/>
                <w:right w:val="nil"/>
                <w:between w:val="nil"/>
              </w:pBdr>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t>Codice fiscale</w:t>
            </w:r>
          </w:p>
        </w:tc>
        <w:tc>
          <w:tcPr>
            <w:tcW w:w="6457" w:type="dxa"/>
          </w:tcPr>
          <w:p w14:paraId="1E60F1A4" w14:textId="77777777" w:rsidR="0012688C" w:rsidRDefault="0012688C">
            <w:pPr>
              <w:pBdr>
                <w:top w:val="nil"/>
                <w:left w:val="nil"/>
                <w:bottom w:val="nil"/>
                <w:right w:val="nil"/>
                <w:between w:val="nil"/>
              </w:pBdr>
              <w:ind w:left="0" w:right="424" w:hanging="2"/>
              <w:jc w:val="both"/>
              <w:rPr>
                <w:rFonts w:ascii="Titillium Web" w:eastAsia="Titillium Web" w:hAnsi="Titillium Web" w:cs="Titillium Web"/>
                <w:sz w:val="22"/>
                <w:szCs w:val="22"/>
              </w:rPr>
            </w:pPr>
          </w:p>
        </w:tc>
      </w:tr>
      <w:tr w:rsidR="0012688C" w14:paraId="0195A300" w14:textId="77777777">
        <w:trPr>
          <w:jc w:val="center"/>
        </w:trPr>
        <w:tc>
          <w:tcPr>
            <w:tcW w:w="9854" w:type="dxa"/>
            <w:gridSpan w:val="3"/>
          </w:tcPr>
          <w:p w14:paraId="3CB4DD2C" w14:textId="77777777" w:rsidR="0012688C" w:rsidRDefault="00BF09C0">
            <w:pPr>
              <w:pBdr>
                <w:top w:val="nil"/>
                <w:left w:val="nil"/>
                <w:bottom w:val="nil"/>
                <w:right w:val="nil"/>
                <w:between w:val="nil"/>
              </w:pBdr>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t>Nella sua qualità di:</w:t>
            </w:r>
          </w:p>
        </w:tc>
      </w:tr>
      <w:tr w:rsidR="0012688C" w14:paraId="1F2C24B5" w14:textId="77777777">
        <w:trPr>
          <w:jc w:val="center"/>
        </w:trPr>
        <w:tc>
          <w:tcPr>
            <w:tcW w:w="562" w:type="dxa"/>
          </w:tcPr>
          <w:p w14:paraId="649AEB73" w14:textId="77777777" w:rsidR="0012688C" w:rsidRDefault="00BF09C0">
            <w:pPr>
              <w:pBdr>
                <w:top w:val="nil"/>
                <w:left w:val="nil"/>
                <w:bottom w:val="nil"/>
                <w:right w:val="nil"/>
                <w:between w:val="nil"/>
              </w:pBdr>
              <w:ind w:left="0" w:right="424" w:hanging="2"/>
              <w:jc w:val="both"/>
              <w:rPr>
                <w:rFonts w:ascii="Titillium Web" w:eastAsia="Titillium Web" w:hAnsi="Titillium Web" w:cs="Titillium Web"/>
                <w:sz w:val="22"/>
                <w:szCs w:val="22"/>
              </w:rPr>
            </w:pPr>
            <w:r>
              <w:rPr>
                <w:rFonts w:ascii="Times New Roman" w:eastAsia="Times New Roman" w:hAnsi="Times New Roman" w:cs="Times New Roman"/>
                <w:sz w:val="22"/>
                <w:szCs w:val="22"/>
              </w:rPr>
              <w:t>□</w:t>
            </w:r>
          </w:p>
        </w:tc>
        <w:tc>
          <w:tcPr>
            <w:tcW w:w="9292" w:type="dxa"/>
            <w:gridSpan w:val="2"/>
            <w:vAlign w:val="center"/>
          </w:tcPr>
          <w:p w14:paraId="26477A50" w14:textId="77777777" w:rsidR="0012688C" w:rsidRDefault="00BF09C0">
            <w:pPr>
              <w:pBdr>
                <w:top w:val="nil"/>
                <w:left w:val="nil"/>
                <w:bottom w:val="nil"/>
                <w:right w:val="nil"/>
                <w:between w:val="nil"/>
              </w:pBdr>
              <w:spacing w:before="40" w:after="40"/>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t>Titolare o Legale rappresentante</w:t>
            </w:r>
          </w:p>
        </w:tc>
      </w:tr>
      <w:tr w:rsidR="0012688C" w14:paraId="43B1F4D5" w14:textId="77777777">
        <w:trPr>
          <w:jc w:val="center"/>
        </w:trPr>
        <w:tc>
          <w:tcPr>
            <w:tcW w:w="562" w:type="dxa"/>
          </w:tcPr>
          <w:p w14:paraId="7B88FED4" w14:textId="77777777" w:rsidR="0012688C" w:rsidRDefault="00BF09C0">
            <w:pPr>
              <w:pBdr>
                <w:top w:val="nil"/>
                <w:left w:val="nil"/>
                <w:bottom w:val="nil"/>
                <w:right w:val="nil"/>
                <w:between w:val="nil"/>
              </w:pBdr>
              <w:ind w:left="0" w:right="424" w:hanging="2"/>
              <w:jc w:val="both"/>
              <w:rPr>
                <w:rFonts w:ascii="Titillium Web" w:eastAsia="Titillium Web" w:hAnsi="Titillium Web" w:cs="Titillium Web"/>
                <w:sz w:val="22"/>
                <w:szCs w:val="22"/>
              </w:rPr>
            </w:pPr>
            <w:r>
              <w:rPr>
                <w:rFonts w:ascii="Times New Roman" w:eastAsia="Times New Roman" w:hAnsi="Times New Roman" w:cs="Times New Roman"/>
                <w:sz w:val="22"/>
                <w:szCs w:val="22"/>
              </w:rPr>
              <w:t>□</w:t>
            </w:r>
          </w:p>
        </w:tc>
        <w:tc>
          <w:tcPr>
            <w:tcW w:w="9292" w:type="dxa"/>
            <w:gridSpan w:val="2"/>
            <w:vAlign w:val="center"/>
          </w:tcPr>
          <w:p w14:paraId="51A50B5E" w14:textId="77777777" w:rsidR="0012688C" w:rsidRDefault="00BF09C0">
            <w:pPr>
              <w:pBdr>
                <w:top w:val="nil"/>
                <w:left w:val="nil"/>
                <w:bottom w:val="nil"/>
                <w:right w:val="nil"/>
                <w:between w:val="nil"/>
              </w:pBdr>
              <w:spacing w:before="40" w:after="40"/>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t>Procuratore</w:t>
            </w:r>
          </w:p>
        </w:tc>
      </w:tr>
      <w:tr w:rsidR="0012688C" w14:paraId="0323FE5D" w14:textId="77777777">
        <w:trPr>
          <w:jc w:val="center"/>
        </w:trPr>
        <w:tc>
          <w:tcPr>
            <w:tcW w:w="3397" w:type="dxa"/>
            <w:gridSpan w:val="2"/>
          </w:tcPr>
          <w:p w14:paraId="1D0A677F" w14:textId="77777777" w:rsidR="0012688C" w:rsidRDefault="00BF09C0">
            <w:pPr>
              <w:pBdr>
                <w:top w:val="nil"/>
                <w:left w:val="nil"/>
                <w:bottom w:val="nil"/>
                <w:right w:val="nil"/>
                <w:between w:val="nil"/>
              </w:pBdr>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t>Del concorrente</w:t>
            </w:r>
          </w:p>
        </w:tc>
        <w:tc>
          <w:tcPr>
            <w:tcW w:w="6457" w:type="dxa"/>
          </w:tcPr>
          <w:p w14:paraId="33313DFE" w14:textId="77777777" w:rsidR="0012688C" w:rsidRDefault="0012688C">
            <w:pPr>
              <w:pBdr>
                <w:top w:val="nil"/>
                <w:left w:val="nil"/>
                <w:bottom w:val="nil"/>
                <w:right w:val="nil"/>
                <w:between w:val="nil"/>
              </w:pBdr>
              <w:ind w:left="0" w:right="424" w:hanging="2"/>
              <w:jc w:val="both"/>
              <w:rPr>
                <w:rFonts w:ascii="Titillium Web" w:eastAsia="Titillium Web" w:hAnsi="Titillium Web" w:cs="Titillium Web"/>
                <w:sz w:val="22"/>
                <w:szCs w:val="22"/>
              </w:rPr>
            </w:pPr>
          </w:p>
        </w:tc>
      </w:tr>
    </w:tbl>
    <w:p w14:paraId="16E1D508"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70B663EE" w14:textId="77777777" w:rsidR="0012688C" w:rsidRDefault="00BF09C0">
      <w:pPr>
        <w:widowControl w:val="0"/>
        <w:pBdr>
          <w:top w:val="nil"/>
          <w:left w:val="nil"/>
          <w:bottom w:val="nil"/>
          <w:right w:val="nil"/>
          <w:between w:val="nil"/>
        </w:pBdr>
        <w:spacing w:line="240" w:lineRule="auto"/>
        <w:ind w:left="0" w:hanging="2"/>
        <w:jc w:val="center"/>
        <w:rPr>
          <w:rFonts w:ascii="Titillium Web" w:eastAsia="Titillium Web" w:hAnsi="Titillium Web" w:cs="Titillium Web"/>
          <w:color w:val="000000"/>
          <w:sz w:val="22"/>
          <w:szCs w:val="22"/>
        </w:rPr>
      </w:pPr>
      <w:r>
        <w:rPr>
          <w:rFonts w:ascii="Titillium Web" w:eastAsia="Titillium Web" w:hAnsi="Titillium Web" w:cs="Titillium Web"/>
          <w:i/>
          <w:color w:val="000000"/>
          <w:sz w:val="22"/>
          <w:szCs w:val="22"/>
        </w:rPr>
        <w:t xml:space="preserve">(in caso di RTI o di Consorzio </w:t>
      </w:r>
      <w:r>
        <w:rPr>
          <w:rFonts w:ascii="Titillium Web" w:eastAsia="Titillium Web" w:hAnsi="Titillium Web" w:cs="Titillium Web"/>
          <w:i/>
          <w:sz w:val="22"/>
          <w:szCs w:val="22"/>
        </w:rPr>
        <w:t xml:space="preserve">costituiti ai sensi </w:t>
      </w:r>
      <w:r>
        <w:rPr>
          <w:rFonts w:ascii="Titillium Web" w:eastAsia="Titillium Web" w:hAnsi="Titillium Web" w:cs="Titillium Web"/>
          <w:i/>
          <w:color w:val="000000"/>
          <w:sz w:val="22"/>
          <w:szCs w:val="22"/>
        </w:rPr>
        <w:t xml:space="preserve">del codice dei contratti, </w:t>
      </w:r>
      <w:r>
        <w:rPr>
          <w:rFonts w:ascii="Titillium Web" w:eastAsia="Titillium Web" w:hAnsi="Titillium Web" w:cs="Titillium Web"/>
          <w:i/>
          <w:sz w:val="22"/>
          <w:szCs w:val="22"/>
        </w:rPr>
        <w:t>anche</w:t>
      </w:r>
      <w:r>
        <w:rPr>
          <w:rFonts w:ascii="Titillium Web" w:eastAsia="Titillium Web" w:hAnsi="Titillium Web" w:cs="Titillium Web"/>
          <w:i/>
          <w:color w:val="000000"/>
          <w:sz w:val="22"/>
          <w:szCs w:val="22"/>
        </w:rPr>
        <w:t xml:space="preserve"> costituendi, dal Consorzio e dalle consorziate designate quali esecutrici nonché per il G.E.I.E. non ancora costituito, replicare la tabella e compilarla per ogni sottoscrittore)</w:t>
      </w:r>
    </w:p>
    <w:p w14:paraId="20249201" w14:textId="77777777" w:rsidR="0012688C" w:rsidRDefault="0012688C">
      <w:pPr>
        <w:widowControl w:val="0"/>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3602039C" w14:textId="77777777" w:rsidR="0012688C" w:rsidRDefault="00BF09C0">
      <w:pPr>
        <w:numPr>
          <w:ilvl w:val="0"/>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ai fini della ammissione alla procedura di gara, ai sensi degli articoli 46 e 47 del D.P.R. 28 dicembre 2000, n. 445,</w:t>
      </w:r>
    </w:p>
    <w:p w14:paraId="065149F2" w14:textId="77777777" w:rsidR="0012688C" w:rsidRDefault="00BF09C0">
      <w:pPr>
        <w:numPr>
          <w:ilvl w:val="0"/>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lastRenderedPageBreak/>
        <w:t>consapevole/i della responsabilità e delle conseguenze civili e penali previste in caso di dichiarazioni mendaci e/o formazione od uso di atti falsi, nonché in caso di esibizione di atti contenenti dati non più corrispondenti a verità;</w:t>
      </w:r>
    </w:p>
    <w:p w14:paraId="778E8D52" w14:textId="77777777" w:rsidR="0012688C" w:rsidRDefault="00BF09C0">
      <w:pPr>
        <w:numPr>
          <w:ilvl w:val="0"/>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 xml:space="preserve">consapevole/i che costituisce causa di esclusione del/dei concorrente/i il mancato rispetto, al momento della presentazione dell’offerta, degli obblighi in materia di lavoro delle persone con disabilità di cui alla L. 68/1999; </w:t>
      </w:r>
    </w:p>
    <w:p w14:paraId="32D07CC6" w14:textId="77777777" w:rsidR="0012688C" w:rsidRDefault="00BF09C0">
      <w:pPr>
        <w:numPr>
          <w:ilvl w:val="0"/>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 xml:space="preserve">consapevole/i che il mancato rispetto della quota di assunzioni di giovani e donne nella percentuale del 30%, come calcolata in base alle Linee guida approvate con Decreto della Presidenza del Consiglio dei Ministri – Dipartimento Pari Opportunità, 7/12/2021 (G.U.R.I. 30/12/2021), comporterà l’applicazione di una penale quantificata tra </w:t>
      </w:r>
      <w:proofErr w:type="gramStart"/>
      <w:r>
        <w:rPr>
          <w:rFonts w:ascii="Titillium Web" w:eastAsia="Titillium Web" w:hAnsi="Titillium Web" w:cs="Titillium Web"/>
          <w:color w:val="000000"/>
          <w:sz w:val="22"/>
          <w:szCs w:val="22"/>
        </w:rPr>
        <w:t>il</w:t>
      </w:r>
      <w:proofErr w:type="gramEnd"/>
      <w:r>
        <w:rPr>
          <w:rFonts w:ascii="Titillium Web" w:eastAsia="Titillium Web" w:hAnsi="Titillium Web" w:cs="Titillium Web"/>
          <w:color w:val="000000"/>
          <w:sz w:val="22"/>
          <w:szCs w:val="22"/>
        </w:rPr>
        <w:t xml:space="preserve"> 1% ed il 4% del valore della commessa, a seconda della gravità dell’inadempimento;</w:t>
      </w:r>
    </w:p>
    <w:p w14:paraId="034F86AF" w14:textId="77777777" w:rsidR="0012688C" w:rsidRDefault="0012688C">
      <w:pPr>
        <w:widowControl w:val="0"/>
        <w:pBdr>
          <w:top w:val="nil"/>
          <w:left w:val="nil"/>
          <w:bottom w:val="nil"/>
          <w:right w:val="nil"/>
          <w:between w:val="nil"/>
        </w:pBdr>
        <w:spacing w:line="240" w:lineRule="auto"/>
        <w:ind w:left="0" w:hanging="2"/>
        <w:jc w:val="center"/>
        <w:rPr>
          <w:rFonts w:ascii="Arial" w:eastAsia="Arial" w:hAnsi="Arial" w:cs="Arial"/>
          <w:b/>
          <w:color w:val="000000"/>
          <w:sz w:val="24"/>
          <w:szCs w:val="24"/>
        </w:rPr>
      </w:pPr>
    </w:p>
    <w:p w14:paraId="1CEE9762" w14:textId="77777777" w:rsidR="0012688C" w:rsidRDefault="00BF09C0">
      <w:pPr>
        <w:widowControl w:val="0"/>
        <w:pBdr>
          <w:top w:val="nil"/>
          <w:left w:val="nil"/>
          <w:bottom w:val="nil"/>
          <w:right w:val="nil"/>
          <w:between w:val="nil"/>
        </w:pBdr>
        <w:spacing w:line="240" w:lineRule="auto"/>
        <w:ind w:left="0" w:hanging="2"/>
        <w:jc w:val="center"/>
        <w:rPr>
          <w:rFonts w:ascii="Titillium Web" w:eastAsia="Titillium Web" w:hAnsi="Titillium Web" w:cs="Titillium Web"/>
          <w:b/>
          <w:color w:val="000000"/>
          <w:sz w:val="24"/>
          <w:szCs w:val="24"/>
        </w:rPr>
      </w:pPr>
      <w:r>
        <w:rPr>
          <w:rFonts w:ascii="Titillium Web" w:eastAsia="Titillium Web" w:hAnsi="Titillium Web" w:cs="Titillium Web"/>
          <w:b/>
          <w:color w:val="000000"/>
          <w:sz w:val="24"/>
          <w:szCs w:val="24"/>
        </w:rPr>
        <w:t>DICHIARA/DICHIARANO</w:t>
      </w:r>
    </w:p>
    <w:p w14:paraId="083239BD" w14:textId="77777777" w:rsidR="0012688C" w:rsidRDefault="0012688C">
      <w:pPr>
        <w:pBdr>
          <w:top w:val="nil"/>
          <w:left w:val="nil"/>
          <w:bottom w:val="nil"/>
          <w:right w:val="nil"/>
          <w:between w:val="nil"/>
        </w:pBdr>
        <w:spacing w:line="240" w:lineRule="auto"/>
        <w:ind w:left="0" w:hanging="2"/>
        <w:rPr>
          <w:rFonts w:ascii="Arial" w:eastAsia="Arial" w:hAnsi="Arial" w:cs="Arial"/>
          <w:color w:val="000000"/>
          <w:sz w:val="24"/>
          <w:szCs w:val="24"/>
        </w:rPr>
      </w:pPr>
    </w:p>
    <w:p w14:paraId="09DDB572" w14:textId="77777777" w:rsidR="0012688C" w:rsidRDefault="00BF09C0">
      <w:pPr>
        <w:numPr>
          <w:ilvl w:val="0"/>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che il/i concorrente/i ha/hanno assolto gli obblighi in materia di lavoro delle persone con disabilità di cui alla legge 12 marzo 1999, n. 68;</w:t>
      </w:r>
    </w:p>
    <w:p w14:paraId="19868938" w14:textId="77777777" w:rsidR="0012688C" w:rsidRDefault="00BF09C0">
      <w:pPr>
        <w:numPr>
          <w:ilvl w:val="0"/>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bookmarkStart w:id="0" w:name="_heading=h.gjdgxs" w:colFirst="0" w:colLast="0"/>
      <w:bookmarkEnd w:id="0"/>
      <w:r>
        <w:rPr>
          <w:rFonts w:ascii="Titillium Web" w:eastAsia="Titillium Web" w:hAnsi="Titillium Web" w:cs="Titillium Web"/>
          <w:color w:val="000000"/>
          <w:sz w:val="22"/>
          <w:szCs w:val="22"/>
        </w:rPr>
        <w:t>che il/i concorrente/i, ai sensi di quanto disposto dall’art. 47, comma 4, del D.L. 77/2021, in caso di aggiudicazione del contratto, ove per l’esecuzione del contratto medesimo o per la realizzazione di attività ad esso connesse o strumentali, fosse necessario procedere con nuove assunzioni in numero pari o superiore a tre unità, assume/assumono l’obbligo di assicurare una quota pari:</w:t>
      </w:r>
    </w:p>
    <w:p w14:paraId="594AE2AA" w14:textId="77777777" w:rsidR="0012688C" w:rsidRDefault="00BF09C0">
      <w:pPr>
        <w:numPr>
          <w:ilvl w:val="1"/>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 xml:space="preserve">almeno al 30% delle nuove assunzioni necessarie all’occupazione giovanile; </w:t>
      </w:r>
    </w:p>
    <w:p w14:paraId="28E66BE0" w14:textId="77777777" w:rsidR="0012688C" w:rsidRDefault="00BF09C0">
      <w:pPr>
        <w:numPr>
          <w:ilvl w:val="1"/>
          <w:numId w:val="2"/>
        </w:numPr>
        <w:pBdr>
          <w:top w:val="nil"/>
          <w:left w:val="nil"/>
          <w:bottom w:val="nil"/>
          <w:right w:val="nil"/>
          <w:between w:val="nil"/>
        </w:pBdr>
        <w:spacing w:line="240" w:lineRule="auto"/>
        <w:ind w:left="0" w:right="424" w:hanging="2"/>
        <w:jc w:val="both"/>
        <w:rPr>
          <w:rFonts w:ascii="Titillium Web" w:eastAsia="Titillium Web" w:hAnsi="Titillium Web" w:cs="Titillium Web"/>
          <w:color w:val="000000"/>
          <w:sz w:val="22"/>
          <w:szCs w:val="22"/>
        </w:rPr>
      </w:pPr>
      <w:r>
        <w:rPr>
          <w:rFonts w:ascii="Titillium Web" w:eastAsia="Titillium Web" w:hAnsi="Titillium Web" w:cs="Titillium Web"/>
          <w:color w:val="000000"/>
          <w:sz w:val="22"/>
          <w:szCs w:val="22"/>
        </w:rPr>
        <w:t>almeno al 30% delle nuove assunzioni necessarie all’occupazione femminile.</w:t>
      </w:r>
    </w:p>
    <w:p w14:paraId="2AC53B3B" w14:textId="77777777" w:rsidR="0012688C" w:rsidRDefault="0012688C">
      <w:pPr>
        <w:widowControl w:val="0"/>
        <w:pBdr>
          <w:top w:val="nil"/>
          <w:left w:val="nil"/>
          <w:bottom w:val="nil"/>
          <w:right w:val="nil"/>
          <w:between w:val="nil"/>
        </w:pBdr>
        <w:spacing w:line="240" w:lineRule="auto"/>
        <w:ind w:left="0" w:hanging="2"/>
        <w:jc w:val="both"/>
        <w:rPr>
          <w:rFonts w:ascii="Arial" w:eastAsia="Arial" w:hAnsi="Arial" w:cs="Arial"/>
          <w:sz w:val="24"/>
          <w:szCs w:val="24"/>
        </w:rPr>
      </w:pPr>
    </w:p>
    <w:p w14:paraId="6B7E0B84" w14:textId="77777777" w:rsidR="0012688C" w:rsidRDefault="00BF09C0">
      <w:pPr>
        <w:numPr>
          <w:ilvl w:val="0"/>
          <w:numId w:val="1"/>
        </w:numPr>
        <w:spacing w:line="240" w:lineRule="auto"/>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Che il concorrente occupa un numero pari a … dipendenti, e che:</w:t>
      </w:r>
    </w:p>
    <w:p w14:paraId="5D8CB2EC" w14:textId="77777777" w:rsidR="0012688C" w:rsidRDefault="0012688C">
      <w:pPr>
        <w:spacing w:line="240" w:lineRule="auto"/>
        <w:ind w:left="0" w:hanging="2"/>
        <w:jc w:val="both"/>
        <w:rPr>
          <w:rFonts w:ascii="Titillium Web" w:eastAsia="Titillium Web" w:hAnsi="Titillium Web" w:cs="Titillium Web"/>
          <w:sz w:val="22"/>
          <w:szCs w:val="22"/>
        </w:rPr>
      </w:pPr>
    </w:p>
    <w:tbl>
      <w:tblPr>
        <w:tblStyle w:val="a4"/>
        <w:tblW w:w="943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866"/>
      </w:tblGrid>
      <w:tr w:rsidR="0012688C" w14:paraId="0AE7FBAB" w14:textId="77777777">
        <w:tc>
          <w:tcPr>
            <w:tcW w:w="567" w:type="dxa"/>
            <w:vAlign w:val="center"/>
          </w:tcPr>
          <w:p w14:paraId="79B8FE31" w14:textId="77777777" w:rsidR="0012688C" w:rsidRDefault="00BF09C0">
            <w:pPr>
              <w:ind w:left="0" w:hanging="2"/>
              <w:jc w:val="center"/>
              <w:rPr>
                <w:rFonts w:ascii="Titillium Web" w:eastAsia="Titillium Web" w:hAnsi="Titillium Web" w:cs="Titillium Web"/>
                <w:sz w:val="22"/>
                <w:szCs w:val="22"/>
              </w:rPr>
            </w:pPr>
            <w:r>
              <w:rPr>
                <w:rFonts w:ascii="Cambria Math" w:eastAsia="Cambria Math" w:hAnsi="Cambria Math" w:cs="Cambria Math"/>
                <w:sz w:val="22"/>
                <w:szCs w:val="22"/>
              </w:rPr>
              <w:t>⃝</w:t>
            </w:r>
          </w:p>
        </w:tc>
        <w:tc>
          <w:tcPr>
            <w:tcW w:w="8866" w:type="dxa"/>
          </w:tcPr>
          <w:p w14:paraId="48FCA4AC" w14:textId="77777777" w:rsidR="0012688C" w:rsidRDefault="00BF09C0">
            <w:pPr>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In quanto impresa che occupa più di 50 dipendenti, è soggetta all’obbligo di redazione del rapporto sulla situazione del personale, ai sensi dell’articolo 46, comma 2, decreto legislativo n. 198/2006. Pertanto:</w:t>
            </w:r>
          </w:p>
          <w:p w14:paraId="1F463287" w14:textId="77777777" w:rsidR="0012688C" w:rsidRDefault="00BF09C0">
            <w:pPr>
              <w:numPr>
                <w:ilvl w:val="0"/>
                <w:numId w:val="3"/>
              </w:numPr>
              <w:spacing w:line="240" w:lineRule="auto"/>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Allega all’offerta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In aggiunta, nel caso in cui non abbia provveduto alla trasmissione del rapporto nei termini indicati dall'articolo 46 del decreto legislativo n. 198/2006: Allega all’offerta l’attestazione dell’avvenuta tras</w:t>
            </w:r>
            <w:r>
              <w:rPr>
                <w:rFonts w:ascii="Titillium Web" w:eastAsia="Titillium Web" w:hAnsi="Titillium Web" w:cs="Titillium Web"/>
                <w:sz w:val="22"/>
                <w:szCs w:val="22"/>
              </w:rPr>
              <w:t>missione alle rappresentanze sindacali aziendali e alla consigliera e al consigliere regionale di parità, in data anteriore a quella di presentazione dell’offerta.</w:t>
            </w:r>
          </w:p>
          <w:p w14:paraId="630D28ED" w14:textId="77777777" w:rsidR="0012688C" w:rsidRDefault="00BF09C0">
            <w:pPr>
              <w:numPr>
                <w:ilvl w:val="0"/>
                <w:numId w:val="3"/>
              </w:numPr>
              <w:spacing w:line="240" w:lineRule="auto"/>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lastRenderedPageBreak/>
              <w:t>Si impegna,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La relazione dovrà essere trasmessa entro il medesimo termine anche alle rappresentanze sindacali aziendali.</w:t>
            </w:r>
          </w:p>
        </w:tc>
      </w:tr>
      <w:tr w:rsidR="0012688C" w14:paraId="329272C0" w14:textId="77777777">
        <w:tc>
          <w:tcPr>
            <w:tcW w:w="567" w:type="dxa"/>
            <w:vAlign w:val="center"/>
          </w:tcPr>
          <w:p w14:paraId="00AE945C" w14:textId="77777777" w:rsidR="0012688C" w:rsidRDefault="00BF09C0">
            <w:pPr>
              <w:ind w:left="0" w:hanging="2"/>
              <w:jc w:val="center"/>
              <w:rPr>
                <w:rFonts w:ascii="Titillium Web" w:eastAsia="Titillium Web" w:hAnsi="Titillium Web" w:cs="Titillium Web"/>
                <w:sz w:val="22"/>
                <w:szCs w:val="22"/>
              </w:rPr>
            </w:pPr>
            <w:r>
              <w:rPr>
                <w:rFonts w:ascii="Cambria Math" w:eastAsia="Cambria Math" w:hAnsi="Cambria Math" w:cs="Cambria Math"/>
                <w:sz w:val="22"/>
                <w:szCs w:val="22"/>
              </w:rPr>
              <w:lastRenderedPageBreak/>
              <w:t>⃝</w:t>
            </w:r>
          </w:p>
        </w:tc>
        <w:tc>
          <w:tcPr>
            <w:tcW w:w="8866" w:type="dxa"/>
          </w:tcPr>
          <w:p w14:paraId="447E3A9B" w14:textId="77777777" w:rsidR="0012688C" w:rsidRDefault="00BF09C0">
            <w:pPr>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In quanto impresa che occupa un numero di dipendenti pari o superiore a 15 e non superiore a 50:</w:t>
            </w:r>
          </w:p>
          <w:p w14:paraId="399B1417" w14:textId="77777777" w:rsidR="0012688C" w:rsidRDefault="00BF09C0">
            <w:pPr>
              <w:numPr>
                <w:ilvl w:val="0"/>
                <w:numId w:val="3"/>
              </w:numPr>
              <w:spacing w:line="240" w:lineRule="auto"/>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Dichiara che nei 12 mesi precedenti al termine di presentazione dell’offerta non è incorsa nella violazione dell’obbligo di produrre alla stazione appaltante di un precedente contratto di appalto finanziato in tutto o in parte con fondi P.N.R.R. o P.N.C. la relazione di genere sulla situazione del personale maschile e femminile cui all’art. 47, comma 3, del D.L. n. 77/2021 convertito in L. n. 108/2021. Pertanto:</w:t>
            </w:r>
          </w:p>
          <w:p w14:paraId="0D5E9C1D" w14:textId="77777777" w:rsidR="0012688C" w:rsidRDefault="00BF09C0">
            <w:pPr>
              <w:numPr>
                <w:ilvl w:val="0"/>
                <w:numId w:val="3"/>
              </w:numPr>
              <w:spacing w:line="240" w:lineRule="auto"/>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Si impegna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w:t>
            </w:r>
            <w:r>
              <w:rPr>
                <w:rFonts w:ascii="Titillium Web" w:eastAsia="Titillium Web" w:hAnsi="Titillium Web" w:cs="Titillium Web"/>
                <w:sz w:val="22"/>
                <w:szCs w:val="22"/>
              </w:rPr>
              <w:t>one, alla Stazione appaltante, nonché alle rappresentanze sindacali aziendali, alla consigliera e al consigliere regionale di parità, entro 6 mesi dalla stipula del contratto.</w:t>
            </w:r>
          </w:p>
          <w:p w14:paraId="0197AB47" w14:textId="77777777" w:rsidR="0012688C" w:rsidRDefault="00BF09C0">
            <w:pPr>
              <w:numPr>
                <w:ilvl w:val="0"/>
                <w:numId w:val="3"/>
              </w:numPr>
              <w:spacing w:line="240" w:lineRule="auto"/>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Si impegna,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La relazione dovrà essere trasmessa entro il medesimo termine anche alle rappresentanze sindacali aziendali.</w:t>
            </w:r>
          </w:p>
        </w:tc>
      </w:tr>
      <w:tr w:rsidR="0012688C" w14:paraId="5D04F587" w14:textId="77777777">
        <w:tc>
          <w:tcPr>
            <w:tcW w:w="567" w:type="dxa"/>
            <w:vAlign w:val="center"/>
          </w:tcPr>
          <w:p w14:paraId="3748ECD2" w14:textId="77777777" w:rsidR="0012688C" w:rsidRDefault="00BF09C0">
            <w:pPr>
              <w:ind w:left="0" w:hanging="2"/>
              <w:jc w:val="center"/>
              <w:rPr>
                <w:rFonts w:ascii="Titillium Web" w:eastAsia="Titillium Web" w:hAnsi="Titillium Web" w:cs="Titillium Web"/>
                <w:sz w:val="22"/>
                <w:szCs w:val="22"/>
              </w:rPr>
            </w:pPr>
            <w:r>
              <w:rPr>
                <w:rFonts w:ascii="Cambria Math" w:eastAsia="Cambria Math" w:hAnsi="Cambria Math" w:cs="Cambria Math"/>
                <w:sz w:val="22"/>
                <w:szCs w:val="22"/>
              </w:rPr>
              <w:t>⃝</w:t>
            </w:r>
          </w:p>
        </w:tc>
        <w:tc>
          <w:tcPr>
            <w:tcW w:w="8866" w:type="dxa"/>
          </w:tcPr>
          <w:p w14:paraId="03B1F4B2" w14:textId="77777777" w:rsidR="0012688C" w:rsidRDefault="00BF09C0">
            <w:pPr>
              <w:ind w:left="0" w:hanging="2"/>
              <w:jc w:val="both"/>
              <w:rPr>
                <w:rFonts w:ascii="Titillium Web" w:eastAsia="Titillium Web" w:hAnsi="Titillium Web" w:cs="Titillium Web"/>
                <w:sz w:val="22"/>
                <w:szCs w:val="22"/>
              </w:rPr>
            </w:pPr>
            <w:r>
              <w:rPr>
                <w:rFonts w:ascii="Titillium Web" w:eastAsia="Titillium Web" w:hAnsi="Titillium Web" w:cs="Titillium Web"/>
                <w:sz w:val="22"/>
                <w:szCs w:val="22"/>
              </w:rPr>
              <w:t>In quanto impresa che occupa un numero di dipendenti inferiore a 15 di non essere tenuta al rispetto di quanto prescritto dall’art. 47, commi 2, 3 e 3bis, del D.L. n. 77/2021 convertito in L. n. 108/2021.</w:t>
            </w:r>
          </w:p>
        </w:tc>
      </w:tr>
    </w:tbl>
    <w:p w14:paraId="224C23F8" w14:textId="77777777" w:rsidR="0012688C" w:rsidRDefault="0012688C">
      <w:pPr>
        <w:ind w:left="0" w:right="424" w:hanging="2"/>
        <w:jc w:val="both"/>
        <w:rPr>
          <w:rFonts w:ascii="Titillium Web" w:eastAsia="Titillium Web" w:hAnsi="Titillium Web" w:cs="Titillium Web"/>
          <w:sz w:val="22"/>
          <w:szCs w:val="22"/>
        </w:rPr>
      </w:pPr>
    </w:p>
    <w:p w14:paraId="5E0CB875" w14:textId="77777777" w:rsidR="0012688C" w:rsidRDefault="00BF09C0">
      <w:pPr>
        <w:numPr>
          <w:ilvl w:val="0"/>
          <w:numId w:val="2"/>
        </w:numPr>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t>di prendere atto che, ai sensi dell'art. 47, comma 6, D.L. 77/2021, è prevista l’applicazione delle penali, anche nel caso di inadempimento agli obblighi di cui al comma 3, 3bis e 4 dell'art. 47, comma 3, D.L. 77/2021;</w:t>
      </w:r>
    </w:p>
    <w:p w14:paraId="290D58C4" w14:textId="77777777" w:rsidR="0012688C" w:rsidRDefault="0012688C">
      <w:pPr>
        <w:ind w:left="0" w:right="424" w:hanging="2"/>
        <w:jc w:val="both"/>
        <w:rPr>
          <w:rFonts w:ascii="Titillium Web" w:eastAsia="Titillium Web" w:hAnsi="Titillium Web" w:cs="Titillium Web"/>
          <w:sz w:val="22"/>
          <w:szCs w:val="22"/>
        </w:rPr>
      </w:pPr>
    </w:p>
    <w:p w14:paraId="00131F23" w14:textId="77777777" w:rsidR="0012688C" w:rsidRDefault="00BF09C0">
      <w:pPr>
        <w:numPr>
          <w:ilvl w:val="0"/>
          <w:numId w:val="2"/>
        </w:numPr>
        <w:ind w:left="0" w:right="424" w:hanging="2"/>
        <w:jc w:val="both"/>
        <w:rPr>
          <w:rFonts w:ascii="Titillium Web" w:eastAsia="Titillium Web" w:hAnsi="Titillium Web" w:cs="Titillium Web"/>
          <w:sz w:val="22"/>
          <w:szCs w:val="22"/>
        </w:rPr>
      </w:pPr>
      <w:r>
        <w:rPr>
          <w:rFonts w:ascii="Titillium Web" w:eastAsia="Titillium Web" w:hAnsi="Titillium Web" w:cs="Titillium Web"/>
          <w:sz w:val="22"/>
          <w:szCs w:val="22"/>
        </w:rPr>
        <w:lastRenderedPageBreak/>
        <w:t>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w:t>
      </w:r>
    </w:p>
    <w:p w14:paraId="789E4393" w14:textId="77777777" w:rsidR="0012688C" w:rsidRDefault="0012688C">
      <w:pPr>
        <w:ind w:left="0" w:right="424" w:hanging="2"/>
        <w:jc w:val="both"/>
        <w:rPr>
          <w:rFonts w:ascii="Titillium Web" w:eastAsia="Titillium Web" w:hAnsi="Titillium Web" w:cs="Titillium Web"/>
          <w:sz w:val="22"/>
          <w:szCs w:val="22"/>
        </w:rPr>
      </w:pPr>
    </w:p>
    <w:p w14:paraId="6A9351A4" w14:textId="77777777" w:rsidR="0012688C" w:rsidRDefault="0012688C">
      <w:pPr>
        <w:widowControl w:val="0"/>
        <w:pBdr>
          <w:top w:val="nil"/>
          <w:left w:val="nil"/>
          <w:bottom w:val="nil"/>
          <w:right w:val="nil"/>
          <w:between w:val="nil"/>
        </w:pBdr>
        <w:spacing w:line="240" w:lineRule="auto"/>
        <w:ind w:left="0" w:hanging="2"/>
        <w:jc w:val="right"/>
        <w:rPr>
          <w:rFonts w:ascii="Titillium Web" w:eastAsia="Titillium Web" w:hAnsi="Titillium Web" w:cs="Titillium Web"/>
          <w:sz w:val="22"/>
          <w:szCs w:val="22"/>
        </w:rPr>
      </w:pPr>
    </w:p>
    <w:p w14:paraId="30AFF624" w14:textId="77777777" w:rsidR="0012688C" w:rsidRDefault="00BF09C0">
      <w:pPr>
        <w:widowControl w:val="0"/>
        <w:pBdr>
          <w:top w:val="nil"/>
          <w:left w:val="nil"/>
          <w:bottom w:val="nil"/>
          <w:right w:val="nil"/>
          <w:between w:val="nil"/>
        </w:pBdr>
        <w:spacing w:line="240" w:lineRule="auto"/>
        <w:ind w:left="0" w:hanging="2"/>
        <w:jc w:val="right"/>
        <w:rPr>
          <w:rFonts w:ascii="Titillium Web" w:eastAsia="Titillium Web" w:hAnsi="Titillium Web" w:cs="Titillium Web"/>
          <w:sz w:val="22"/>
          <w:szCs w:val="22"/>
        </w:rPr>
      </w:pPr>
      <w:r>
        <w:rPr>
          <w:rFonts w:ascii="Titillium Web" w:eastAsia="Titillium Web" w:hAnsi="Titillium Web" w:cs="Titillium Web"/>
          <w:sz w:val="22"/>
          <w:szCs w:val="22"/>
        </w:rPr>
        <w:t xml:space="preserve">Firma </w:t>
      </w:r>
      <w:proofErr w:type="gramStart"/>
      <w:r>
        <w:rPr>
          <w:rFonts w:ascii="Titillium Web" w:eastAsia="Titillium Web" w:hAnsi="Titillium Web" w:cs="Titillium Web"/>
          <w:sz w:val="22"/>
          <w:szCs w:val="22"/>
        </w:rPr>
        <w:t>digitale(</w:t>
      </w:r>
      <w:proofErr w:type="gramEnd"/>
      <w:r>
        <w:rPr>
          <w:rFonts w:ascii="Titillium Web" w:eastAsia="Titillium Web" w:hAnsi="Titillium Web" w:cs="Titillium Web"/>
          <w:sz w:val="22"/>
          <w:szCs w:val="22"/>
          <w:vertAlign w:val="superscript"/>
        </w:rPr>
        <w:footnoteReference w:id="1"/>
      </w:r>
      <w:r>
        <w:rPr>
          <w:rFonts w:ascii="Titillium Web" w:eastAsia="Titillium Web" w:hAnsi="Titillium Web" w:cs="Titillium Web"/>
          <w:sz w:val="22"/>
          <w:szCs w:val="22"/>
        </w:rPr>
        <w:t>) del legale rappresentante/procuratore (</w:t>
      </w:r>
      <w:r>
        <w:rPr>
          <w:rFonts w:ascii="Titillium Web" w:eastAsia="Titillium Web" w:hAnsi="Titillium Web" w:cs="Titillium Web"/>
          <w:sz w:val="22"/>
          <w:szCs w:val="22"/>
          <w:vertAlign w:val="superscript"/>
        </w:rPr>
        <w:footnoteReference w:id="2"/>
      </w:r>
      <w:r>
        <w:rPr>
          <w:rFonts w:ascii="Titillium Web" w:eastAsia="Titillium Web" w:hAnsi="Titillium Web" w:cs="Titillium Web"/>
          <w:sz w:val="22"/>
          <w:szCs w:val="22"/>
        </w:rPr>
        <w:t>) di tutti i sottoscrittori</w:t>
      </w:r>
    </w:p>
    <w:p w14:paraId="69829CB1" w14:textId="77777777" w:rsidR="0012688C" w:rsidRDefault="0012688C">
      <w:pPr>
        <w:widowControl w:val="0"/>
        <w:pBdr>
          <w:top w:val="nil"/>
          <w:left w:val="nil"/>
          <w:bottom w:val="nil"/>
          <w:right w:val="nil"/>
          <w:between w:val="nil"/>
        </w:pBdr>
        <w:spacing w:line="240" w:lineRule="auto"/>
        <w:ind w:left="0" w:hanging="2"/>
        <w:rPr>
          <w:rFonts w:ascii="Titillium Web" w:eastAsia="Titillium Web" w:hAnsi="Titillium Web" w:cs="Titillium Web"/>
          <w:sz w:val="22"/>
          <w:szCs w:val="22"/>
        </w:rPr>
      </w:pPr>
    </w:p>
    <w:p w14:paraId="52C2156E" w14:textId="77777777" w:rsidR="0012688C" w:rsidRDefault="0012688C">
      <w:pPr>
        <w:widowControl w:val="0"/>
        <w:pBdr>
          <w:top w:val="nil"/>
          <w:left w:val="nil"/>
          <w:bottom w:val="nil"/>
          <w:right w:val="nil"/>
          <w:between w:val="nil"/>
        </w:pBdr>
        <w:spacing w:line="240" w:lineRule="auto"/>
        <w:ind w:left="0" w:hanging="2"/>
        <w:rPr>
          <w:rFonts w:ascii="Titillium Web" w:eastAsia="Titillium Web" w:hAnsi="Titillium Web" w:cs="Titillium Web"/>
          <w:sz w:val="22"/>
          <w:szCs w:val="22"/>
        </w:rPr>
      </w:pPr>
    </w:p>
    <w:p w14:paraId="7ABD02B6"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p>
    <w:p w14:paraId="401DF395"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p>
    <w:p w14:paraId="58167185"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p>
    <w:p w14:paraId="700DE5B6"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6032749F"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0AB0DB32"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3DD5C210"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4C82C2CB"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4F77BD90"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3FB012A8"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60C88C99"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08C6B40F"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49F65B32"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0B156C67"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4FEC59B9"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393AF1CA"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255A9539"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sz w:val="24"/>
          <w:szCs w:val="24"/>
        </w:rPr>
      </w:pPr>
    </w:p>
    <w:p w14:paraId="1F1B6016"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p>
    <w:p w14:paraId="7841DE31"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color w:val="000000"/>
          <w:sz w:val="24"/>
          <w:szCs w:val="24"/>
        </w:rPr>
      </w:pPr>
    </w:p>
    <w:tbl>
      <w:tblPr>
        <w:tblStyle w:val="a5"/>
        <w:tblW w:w="942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8"/>
      </w:tblGrid>
      <w:tr w:rsidR="0012688C" w14:paraId="5499E5CC" w14:textId="77777777">
        <w:tc>
          <w:tcPr>
            <w:tcW w:w="9428" w:type="dxa"/>
          </w:tcPr>
          <w:p w14:paraId="11F5F278"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3639207" w14:textId="77777777" w:rsidR="0012688C" w:rsidRDefault="00BF09C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CHIARIMENTI</w:t>
            </w:r>
          </w:p>
          <w:p w14:paraId="3DE5E55E" w14:textId="77777777" w:rsidR="0012688C" w:rsidRDefault="0012688C">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379D2449" w14:textId="77777777" w:rsidR="0012688C" w:rsidRDefault="00BF09C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1) Come precisato nelle Linee guida approvate con Decreto della Presidenza del Consiglio dei Ministri – Dipartimento Pari Opportunità, 7/12/2021 (G.U.R.I. 30/12/2021), gli obiettivi di incremento occupazionale giovanile e di genere che si intendono perseguire con le risorse previste dal Regolamento (UE) 2021/240 del Parlamento europeo e del Consiglio del 10 febbraio 2021 e dal Regolamento (UE) 2021/241 del </w:t>
            </w:r>
            <w:r>
              <w:rPr>
                <w:rFonts w:ascii="Arial" w:eastAsia="Arial" w:hAnsi="Arial" w:cs="Arial"/>
                <w:color w:val="000000"/>
                <w:sz w:val="24"/>
                <w:szCs w:val="24"/>
              </w:rPr>
              <w:lastRenderedPageBreak/>
              <w:t xml:space="preserve">Parlamento europeo e del Consiglio del 12 febbraio 2021, nonché dal PNC, costituiscono due distinti target di policy. Ciò significa che nelle procedure di affidamento si deve intendere autonomo il target di incremento dell'occupazione giovanile rispetto a quello dell'occupazione femminile. L'obbligo è finalizzato a garantire un incremento sia dei lavoratori giovani sia delle lavoratrici e pertanto la percentuale di incremento deve essere assicurata con riferimento ad entrambe le tipologie. </w:t>
            </w:r>
          </w:p>
          <w:p w14:paraId="2285D5E5" w14:textId="77777777" w:rsidR="0012688C" w:rsidRDefault="00BF09C0">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Fatte salve le deroghe di cui al comma 7, va dunque, ad esempio, esclusa un'azienda che si impegna all'incremento del 30 per cento ottenuto con il 20 per cento di giovani e il 10 per cento di donne, salvo che queste percentuali non rispecchino i criteri per l'applicazione delle deroghe indicati nel seguito. Diversamente va ammessa, ad esempio, l'azienda che garantisce l'impegno con assunzioni che, sebbene nominalmente non superino la percentuale del 30 per cento, garantiscono tuttavia il target con un numer</w:t>
            </w:r>
            <w:r>
              <w:rPr>
                <w:rFonts w:ascii="Arial" w:eastAsia="Arial" w:hAnsi="Arial" w:cs="Arial"/>
                <w:color w:val="000000"/>
                <w:sz w:val="24"/>
                <w:szCs w:val="24"/>
              </w:rPr>
              <w:t>o inferiore di unità in tutto o in parte caratterizzate dal doppio requisito di genere ed età (30 per cento di donne con meno di 36 anni oppure 20 per cento di donne con meno di 36 anni, 10 per cento di donne di almeno 36 anni e 10 per cento di uomini con meno di 36 anni). Ad ogni modo, per i dettagli operativo sulle modalità di calcolo, si rinvia alle già citate linee guida.</w:t>
            </w:r>
          </w:p>
          <w:p w14:paraId="036B6FB6" w14:textId="77777777" w:rsidR="0012688C" w:rsidRDefault="0012688C">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4BA95176" w14:textId="77777777" w:rsidR="0012688C" w:rsidRDefault="00BF09C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 Al fine di evitare che l’assunzione dell’obbligo in dichiarazione possa disincentivare la partecipazione o, ancora, determinare negli operatori il convincimento a non allegare la dichiarazione, che costituisce requisito necessario dell’offerta, passibile di esclusione, si ritiene di dover riportare, ad integrazione di quanto indicato nelle già citate linee guida, la risposta data al quesito sottostante dal Servizio Supporto Giuridico del MIT (Codice identificativo: 1133 Data ricezione: 12/01/2022 Argomen</w:t>
            </w:r>
            <w:r>
              <w:rPr>
                <w:rFonts w:ascii="Arial" w:eastAsia="Arial" w:hAnsi="Arial" w:cs="Arial"/>
                <w:color w:val="000000"/>
                <w:sz w:val="24"/>
                <w:szCs w:val="24"/>
              </w:rPr>
              <w:t>to: Appalti PNRR e PNC):</w:t>
            </w:r>
          </w:p>
          <w:p w14:paraId="39A70C7C"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896CB1C" w14:textId="77777777" w:rsidR="0012688C" w:rsidRDefault="00BF09C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Oggetto: Contratti finanziati con PNRR - requisito quota 30% di assunzioni occupazione giovanile e femminile</w:t>
            </w:r>
          </w:p>
          <w:p w14:paraId="2BFAD7C0"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133ADC7" w14:textId="77777777" w:rsidR="0012688C" w:rsidRDefault="00BF09C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Quesito</w:t>
            </w:r>
            <w:r>
              <w:rPr>
                <w:rFonts w:ascii="Arial" w:eastAsia="Arial" w:hAnsi="Arial" w:cs="Arial"/>
                <w:color w:val="000000"/>
                <w:sz w:val="24"/>
                <w:szCs w:val="24"/>
              </w:rPr>
              <w:t xml:space="preserve">: </w:t>
            </w:r>
            <w:r>
              <w:rPr>
                <w:rFonts w:ascii="Arial" w:eastAsia="Arial" w:hAnsi="Arial" w:cs="Arial"/>
                <w:i/>
                <w:color w:val="000000"/>
                <w:sz w:val="24"/>
                <w:szCs w:val="24"/>
              </w:rPr>
              <w:t>Per i contratti pubblici finanziati con risorse del PNRR e del PNC al comma 4 dell'art. 47 del Decreto legge 31 maggio 2021 n. 77 è previsto, quale requisito necessario per l’offerta,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 Si chiede a riguar</w:t>
            </w:r>
            <w:r>
              <w:rPr>
                <w:rFonts w:ascii="Arial" w:eastAsia="Arial" w:hAnsi="Arial" w:cs="Arial"/>
                <w:i/>
                <w:color w:val="000000"/>
                <w:sz w:val="24"/>
                <w:szCs w:val="24"/>
              </w:rPr>
              <w:t xml:space="preserve">do cosa si intenda per "assunzioni necessarie" e, in particolare, se tale obbligo di assunzione sussista solo qualora il datore di lavoro abbia una effettiva necessità di ricorrere a nuove assunzioni per poter svolgere le attività oggetto della gara, e quindi la misura del 30% sia da riferirsi al numero di nuovi assunti, oppure se sussista l'obbligo di effettuare nuovi assunzioni anche nel caso in cui il datore di lavoro abbia già un numero di dipendenti tale da consentirgli di eseguire le attività oggetto </w:t>
            </w:r>
            <w:r>
              <w:rPr>
                <w:rFonts w:ascii="Arial" w:eastAsia="Arial" w:hAnsi="Arial" w:cs="Arial"/>
                <w:i/>
                <w:color w:val="000000"/>
                <w:sz w:val="24"/>
                <w:szCs w:val="24"/>
              </w:rPr>
              <w:t>della gara.</w:t>
            </w:r>
          </w:p>
          <w:p w14:paraId="469E7AA4"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8D3CD21" w14:textId="77777777" w:rsidR="0012688C" w:rsidRDefault="00BF09C0">
            <w:pPr>
              <w:pBdr>
                <w:top w:val="nil"/>
                <w:left w:val="nil"/>
                <w:bottom w:val="nil"/>
                <w:right w:val="nil"/>
                <w:between w:val="nil"/>
              </w:pBdr>
              <w:spacing w:line="240" w:lineRule="auto"/>
              <w:ind w:left="0" w:hanging="2"/>
              <w:jc w:val="both"/>
              <w:rPr>
                <w:rFonts w:ascii="Arial" w:eastAsia="Arial" w:hAnsi="Arial" w:cs="Arial"/>
                <w:color w:val="000000"/>
                <w:sz w:val="24"/>
                <w:szCs w:val="24"/>
                <w:u w:val="single"/>
              </w:rPr>
            </w:pPr>
            <w:r>
              <w:rPr>
                <w:rFonts w:ascii="Arial" w:eastAsia="Arial" w:hAnsi="Arial" w:cs="Arial"/>
                <w:b/>
                <w:color w:val="000000"/>
                <w:sz w:val="24"/>
                <w:szCs w:val="24"/>
              </w:rPr>
              <w:t>Risposta</w:t>
            </w:r>
            <w:r>
              <w:rPr>
                <w:rFonts w:ascii="Arial" w:eastAsia="Arial" w:hAnsi="Arial" w:cs="Arial"/>
                <w:color w:val="000000"/>
                <w:sz w:val="24"/>
                <w:szCs w:val="24"/>
              </w:rPr>
              <w:t xml:space="preserve">: </w:t>
            </w:r>
            <w:r>
              <w:rPr>
                <w:rFonts w:ascii="Arial" w:eastAsia="Arial" w:hAnsi="Arial" w:cs="Arial"/>
                <w:i/>
                <w:color w:val="000000"/>
                <w:sz w:val="24"/>
                <w:szCs w:val="24"/>
              </w:rPr>
              <w:t xml:space="preserve">In merito all’assunzione dell'obbligo di assicurare, in caso di aggiudicazioni ricadenti nel PNRR e PNC, si rinvia alle previsioni di cui al Paragrafo 5 delle “Linee guida volte a favorire la pari opportunità di genere e generazionali, nonché l'inclusione </w:t>
            </w:r>
            <w:r>
              <w:rPr>
                <w:rFonts w:ascii="Arial" w:eastAsia="Arial" w:hAnsi="Arial" w:cs="Arial"/>
                <w:i/>
                <w:color w:val="000000"/>
                <w:sz w:val="24"/>
                <w:szCs w:val="24"/>
              </w:rPr>
              <w:lastRenderedPageBreak/>
              <w:t xml:space="preserve">lavorativa delle persone con disabilità nei contratti pubblici finanziati con le risorse del PNRR e del PNC” approvate con DM 7 dicembre 2021, pubblicate nella Gazzetta Ufficiale 30 dicembre 2021, n. 309. In base a dette Linee guida la quota del 30% dei </w:t>
            </w:r>
            <w:r>
              <w:rPr>
                <w:rFonts w:ascii="Arial" w:eastAsia="Arial" w:hAnsi="Arial" w:cs="Arial"/>
                <w:i/>
                <w:color w:val="000000"/>
                <w:sz w:val="24"/>
                <w:szCs w:val="24"/>
              </w:rPr>
              <w:t xml:space="preserve">neoassunti destinati a nuova occupazione giovanile e femminile (art. 47, comma 4, del DL n. 77/2021), </w:t>
            </w:r>
            <w:r>
              <w:rPr>
                <w:rFonts w:ascii="Arial" w:eastAsia="Arial" w:hAnsi="Arial" w:cs="Arial"/>
                <w:i/>
                <w:color w:val="000000"/>
                <w:sz w:val="24"/>
                <w:szCs w:val="24"/>
                <w:u w:val="single"/>
              </w:rPr>
              <w:t>deve essere riferita unicamente alle assunzioni “necessarie per l'esecuzione del contratto o per la realizzazione di attività ad esso connesse o strumentali”, da determinarsi avendo riguardo all’intero arco temporale di esecuzione del contratto ed applicando un criterio di funzionalità di dette nuove assunzioni rispetto all’esecuzione del contratto aggiudicato nei tempi e secondo le modalità previste.</w:t>
            </w:r>
          </w:p>
          <w:p w14:paraId="007145E1" w14:textId="77777777" w:rsidR="0012688C" w:rsidRDefault="00BF09C0">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Non è richiesto, quindi, che l’operatore si impegni ad assumere personale, nel caso in cui la prestazione possa essere eseguita con personale già contrattualizzato.</w:t>
            </w:r>
          </w:p>
          <w:p w14:paraId="149288E1" w14:textId="77777777" w:rsidR="0012688C" w:rsidRDefault="0012688C">
            <w:pPr>
              <w:pBdr>
                <w:top w:val="nil"/>
                <w:left w:val="nil"/>
                <w:bottom w:val="nil"/>
                <w:right w:val="nil"/>
                <w:between w:val="nil"/>
              </w:pBdr>
              <w:spacing w:line="240" w:lineRule="auto"/>
              <w:ind w:left="0" w:hanging="2"/>
              <w:jc w:val="both"/>
              <w:rPr>
                <w:rFonts w:ascii="Arial" w:eastAsia="Arial" w:hAnsi="Arial" w:cs="Arial"/>
                <w:color w:val="000000"/>
                <w:sz w:val="24"/>
                <w:szCs w:val="24"/>
              </w:rPr>
            </w:pPr>
          </w:p>
        </w:tc>
      </w:tr>
    </w:tbl>
    <w:p w14:paraId="2F11A215" w14:textId="77777777" w:rsidR="0012688C" w:rsidRDefault="0012688C">
      <w:pPr>
        <w:widowControl w:val="0"/>
        <w:pBdr>
          <w:top w:val="nil"/>
          <w:left w:val="nil"/>
          <w:bottom w:val="nil"/>
          <w:right w:val="nil"/>
          <w:between w:val="nil"/>
        </w:pBdr>
        <w:spacing w:line="240" w:lineRule="auto"/>
        <w:ind w:left="0" w:hanging="2"/>
        <w:rPr>
          <w:rFonts w:ascii="Arial" w:eastAsia="Arial" w:hAnsi="Arial" w:cs="Arial"/>
          <w:color w:val="000000"/>
          <w:sz w:val="24"/>
          <w:szCs w:val="24"/>
          <w:u w:val="single"/>
        </w:rPr>
      </w:pPr>
    </w:p>
    <w:p w14:paraId="5283CF0D" w14:textId="77777777" w:rsidR="0012688C" w:rsidRDefault="0012688C">
      <w:pPr>
        <w:pBdr>
          <w:top w:val="nil"/>
          <w:left w:val="nil"/>
          <w:bottom w:val="nil"/>
          <w:right w:val="nil"/>
          <w:between w:val="nil"/>
        </w:pBdr>
        <w:spacing w:line="240" w:lineRule="auto"/>
        <w:ind w:left="0" w:hanging="2"/>
        <w:rPr>
          <w:rFonts w:ascii="Arial" w:eastAsia="Arial" w:hAnsi="Arial" w:cs="Arial"/>
          <w:color w:val="000000"/>
          <w:sz w:val="24"/>
          <w:szCs w:val="24"/>
        </w:rPr>
      </w:pPr>
    </w:p>
    <w:sectPr w:rsidR="0012688C" w:rsidSect="00BF09C0">
      <w:headerReference w:type="even" r:id="rId8"/>
      <w:headerReference w:type="default" r:id="rId9"/>
      <w:footerReference w:type="even" r:id="rId10"/>
      <w:footerReference w:type="default" r:id="rId11"/>
      <w:headerReference w:type="first" r:id="rId12"/>
      <w:footerReference w:type="first" r:id="rId13"/>
      <w:pgSz w:w="11906" w:h="16838"/>
      <w:pgMar w:top="3554" w:right="1021" w:bottom="964" w:left="1021" w:header="284"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151B" w14:textId="77777777" w:rsidR="00BF09C0" w:rsidRDefault="00BF09C0">
      <w:pPr>
        <w:spacing w:line="240" w:lineRule="auto"/>
        <w:ind w:left="0" w:hanging="2"/>
      </w:pPr>
      <w:r>
        <w:separator/>
      </w:r>
    </w:p>
  </w:endnote>
  <w:endnote w:type="continuationSeparator" w:id="0">
    <w:p w14:paraId="015A27F1" w14:textId="77777777" w:rsidR="00BF09C0" w:rsidRDefault="00BF09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4395" w14:textId="77777777" w:rsidR="0012688C" w:rsidRDefault="0012688C">
    <w:pPr>
      <w:pBdr>
        <w:top w:val="nil"/>
        <w:left w:val="nil"/>
        <w:bottom w:val="nil"/>
        <w:right w:val="nil"/>
        <w:between w:val="nil"/>
      </w:pBdr>
      <w:tabs>
        <w:tab w:val="center" w:pos="4819"/>
        <w:tab w:val="right" w:pos="9638"/>
      </w:tabs>
      <w:spacing w:line="240" w:lineRule="auto"/>
      <w:ind w:left="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1A3F" w14:textId="77777777" w:rsidR="0012688C" w:rsidRDefault="00BF09C0">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66E8A73" w14:textId="77777777" w:rsidR="0012688C" w:rsidRDefault="0012688C">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B7F4" w14:textId="77777777" w:rsidR="0012688C" w:rsidRDefault="0012688C">
    <w:pPr>
      <w:pBdr>
        <w:top w:val="nil"/>
        <w:left w:val="nil"/>
        <w:bottom w:val="nil"/>
        <w:right w:val="nil"/>
        <w:between w:val="nil"/>
      </w:pBdr>
      <w:tabs>
        <w:tab w:val="center" w:pos="4819"/>
        <w:tab w:val="right" w:pos="9638"/>
      </w:tabs>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143E" w14:textId="77777777" w:rsidR="00BF09C0" w:rsidRDefault="00BF09C0">
      <w:pPr>
        <w:spacing w:line="240" w:lineRule="auto"/>
        <w:ind w:left="0" w:hanging="2"/>
      </w:pPr>
      <w:r>
        <w:separator/>
      </w:r>
    </w:p>
  </w:footnote>
  <w:footnote w:type="continuationSeparator" w:id="0">
    <w:p w14:paraId="081EAEC3" w14:textId="77777777" w:rsidR="00BF09C0" w:rsidRDefault="00BF09C0">
      <w:pPr>
        <w:spacing w:line="240" w:lineRule="auto"/>
        <w:ind w:left="0" w:hanging="2"/>
      </w:pPr>
      <w:r>
        <w:continuationSeparator/>
      </w:r>
    </w:p>
  </w:footnote>
  <w:footnote w:id="1">
    <w:p w14:paraId="669FF87E" w14:textId="77777777" w:rsidR="0012688C" w:rsidRDefault="00BF09C0">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w:t>
      </w:r>
      <w:r>
        <w:rPr>
          <w:color w:val="000000"/>
          <w:sz w:val="16"/>
        </w:rPr>
        <w:t>Per gli operatori economici italiani o stranieri residenti in Italia, la dichiarazione deve essere sottoscritta da un legale rappresentante ovvero da un procuratore</w:t>
      </w:r>
      <w:r>
        <w:rPr>
          <w:color w:val="000000"/>
          <w:sz w:val="16"/>
          <w:vertAlign w:val="superscript"/>
        </w:rPr>
        <w:t>3</w:t>
      </w:r>
      <w:r>
        <w:rPr>
          <w:color w:val="000000"/>
          <w:sz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20CF615" w14:textId="77777777" w:rsidR="0012688C" w:rsidRDefault="00BF09C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vertAlign w:val="superscript"/>
        </w:rPr>
        <w:footnoteRef/>
      </w:r>
      <w:r>
        <w:rPr>
          <w:color w:val="000000"/>
        </w:rPr>
        <w:t xml:space="preserve"> </w:t>
      </w:r>
      <w:r>
        <w:rPr>
          <w:color w:val="000000"/>
          <w:sz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BE30" w14:textId="77777777" w:rsidR="0012688C" w:rsidRDefault="0012688C">
    <w:pPr>
      <w:pBdr>
        <w:top w:val="nil"/>
        <w:left w:val="nil"/>
        <w:bottom w:val="nil"/>
        <w:right w:val="nil"/>
        <w:between w:val="nil"/>
      </w:pBdr>
      <w:tabs>
        <w:tab w:val="center" w:pos="4819"/>
        <w:tab w:val="right" w:pos="9638"/>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EA0" w14:textId="77777777" w:rsidR="0012688C" w:rsidRDefault="0012688C">
    <w:pPr>
      <w:spacing w:before="108"/>
      <w:ind w:right="72"/>
      <w:jc w:val="both"/>
      <w:rPr>
        <w:rFonts w:ascii="Times New Roman" w:eastAsia="Times New Roman" w:hAnsi="Times New Roman" w:cs="Times New Roman"/>
        <w:sz w:val="10"/>
        <w:szCs w:val="10"/>
        <w:vertAlign w:val="superscript"/>
      </w:rPr>
    </w:pPr>
  </w:p>
  <w:p w14:paraId="67D61BBA" w14:textId="2904D502" w:rsidR="0012688C" w:rsidRDefault="00BF09C0">
    <w:pPr>
      <w:tabs>
        <w:tab w:val="center" w:pos="4819"/>
        <w:tab w:val="right" w:pos="9638"/>
      </w:tabs>
      <w:ind w:left="0" w:hanging="2"/>
      <w:jc w:val="both"/>
    </w:pPr>
    <w:r>
      <w:rPr>
        <w:noProof/>
      </w:rPr>
      <w:drawing>
        <wp:anchor distT="0" distB="0" distL="114300" distR="114300" simplePos="0" relativeHeight="251659264" behindDoc="0" locked="0" layoutInCell="1" allowOverlap="1" wp14:anchorId="396C6819" wp14:editId="0EE24DAB">
          <wp:simplePos x="0" y="0"/>
          <wp:positionH relativeFrom="column">
            <wp:posOffset>0</wp:posOffset>
          </wp:positionH>
          <wp:positionV relativeFrom="paragraph">
            <wp:posOffset>-635</wp:posOffset>
          </wp:positionV>
          <wp:extent cx="6390005" cy="1682750"/>
          <wp:effectExtent l="0" t="0" r="0" b="0"/>
          <wp:wrapNone/>
          <wp:docPr id="1665541982" name="Immagine 1665541982"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68885" name="Immagine 1" descr="Immagine che contiene testo, Carattere, Blu elettrico, log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005" cy="16827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8047" w14:textId="77777777" w:rsidR="0012688C" w:rsidRDefault="0012688C">
    <w:pPr>
      <w:pBdr>
        <w:top w:val="nil"/>
        <w:left w:val="nil"/>
        <w:bottom w:val="nil"/>
        <w:right w:val="nil"/>
        <w:between w:val="nil"/>
      </w:pBdr>
      <w:tabs>
        <w:tab w:val="center" w:pos="4819"/>
        <w:tab w:val="right" w:pos="9638"/>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F4D"/>
    <w:multiLevelType w:val="multilevel"/>
    <w:tmpl w:val="6C58F4E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38804C04"/>
    <w:multiLevelType w:val="multilevel"/>
    <w:tmpl w:val="078CF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6B556B"/>
    <w:multiLevelType w:val="multilevel"/>
    <w:tmpl w:val="6C266C4A"/>
    <w:lvl w:ilvl="0">
      <w:start w:val="1"/>
      <w:numFmt w:val="bullet"/>
      <w:lvlText w:val="●"/>
      <w:lvlJc w:val="left"/>
      <w:pPr>
        <w:ind w:left="454" w:hanging="454"/>
      </w:pPr>
      <w:rPr>
        <w:rFonts w:ascii="Noto Sans Symbols" w:eastAsia="Noto Sans Symbols" w:hAnsi="Noto Sans Symbols" w:cs="Noto Sans Symbols"/>
        <w:b/>
        <w:i w:val="0"/>
        <w:sz w:val="22"/>
        <w:szCs w:val="22"/>
      </w:rPr>
    </w:lvl>
    <w:lvl w:ilvl="1">
      <w:start w:val="1"/>
      <w:numFmt w:val="lowerLetter"/>
      <w:lvlText w:val="%2)"/>
      <w:lvlJc w:val="left"/>
      <w:pPr>
        <w:ind w:left="568" w:firstLine="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1372370">
    <w:abstractNumId w:val="2"/>
  </w:num>
  <w:num w:numId="2" w16cid:durableId="200561045">
    <w:abstractNumId w:val="0"/>
  </w:num>
  <w:num w:numId="3" w16cid:durableId="2061975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8C"/>
    <w:rsid w:val="0012688C"/>
    <w:rsid w:val="00BF0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722F1"/>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szCs w:val="16"/>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spacing w:before="240" w:after="60"/>
      <w:outlineLvl w:val="3"/>
    </w:pPr>
    <w:rPr>
      <w:rFonts w:eastAsia="Times New Roman"/>
      <w:b/>
      <w:bCs/>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4Carattere">
    <w:name w:val="Titolo 4 Carattere"/>
    <w:rPr>
      <w:rFonts w:ascii="Calibri" w:eastAsia="Times New Roman" w:hAnsi="Calibri" w:cs="Times New Roman"/>
      <w:b/>
      <w:bCs/>
      <w:w w:val="100"/>
      <w:kern w:val="0"/>
      <w:position w:val="-1"/>
      <w:sz w:val="28"/>
      <w:szCs w:val="28"/>
      <w:effect w:val="none"/>
      <w:vertAlign w:val="baseline"/>
      <w:cs w:val="0"/>
      <w:em w:val="none"/>
      <w:lang w:val="it-IT" w:eastAsia="it-IT"/>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kern w:val="0"/>
      <w:position w:val="-1"/>
      <w:sz w:val="20"/>
      <w:szCs w:val="16"/>
      <w:effect w:val="none"/>
      <w:vertAlign w:val="baseline"/>
      <w:cs w:val="0"/>
      <w:em w:val="none"/>
      <w:lang w:val="it-IT" w:eastAsia="it-IT"/>
    </w:rPr>
  </w:style>
  <w:style w:type="paragraph" w:customStyle="1" w:styleId="usoboll1">
    <w:name w:val="usoboll1"/>
    <w:basedOn w:val="Normale"/>
    <w:pPr>
      <w:widowControl w:val="0"/>
      <w:spacing w:line="482" w:lineRule="atLeast"/>
      <w:jc w:val="both"/>
    </w:pPr>
    <w:rPr>
      <w:rFonts w:ascii="Times New Roman" w:eastAsia="Times New Roman" w:hAnsi="Times New Roman"/>
      <w:sz w:val="24"/>
      <w:szCs w:val="20"/>
    </w:rPr>
  </w:style>
  <w:style w:type="paragraph" w:styleId="Corpodeltesto2">
    <w:name w:val="Body Text 2"/>
    <w:basedOn w:val="Normale"/>
    <w:qFormat/>
    <w:pPr>
      <w:spacing w:after="120" w:line="480" w:lineRule="auto"/>
    </w:pPr>
  </w:style>
  <w:style w:type="character" w:customStyle="1" w:styleId="Corpodeltesto2Carattere">
    <w:name w:val="Corpo del testo 2 Carattere"/>
    <w:rPr>
      <w:w w:val="100"/>
      <w:kern w:val="0"/>
      <w:position w:val="-1"/>
      <w:sz w:val="20"/>
      <w:szCs w:val="16"/>
      <w:effect w:val="none"/>
      <w:vertAlign w:val="baseline"/>
      <w:cs w:val="0"/>
      <w:em w:val="none"/>
      <w:lang w:val="it-IT" w:eastAsia="it-IT"/>
    </w:rPr>
  </w:style>
  <w:style w:type="table" w:styleId="Grigliatabella">
    <w:name w:val="Table Grid"/>
    <w:basedOn w:val="Tabellanormale"/>
    <w:pPr>
      <w:suppressAutoHyphens/>
      <w:ind w:leftChars="-1" w:left="-1" w:hangingChars="1"/>
      <w:textDirection w:val="btLr"/>
      <w:textAlignment w:val="top"/>
      <w:outlineLvl w:val="0"/>
    </w:pPr>
    <w:rPr>
      <w:rFonts w:ascii="Times New Roman" w:eastAsia="Times New Roman" w:hAnsi="Times New Roman" w:cs="Times New Roman"/>
      <w:position w:val="-1"/>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pPr>
      <w:autoSpaceDE w:val="0"/>
      <w:autoSpaceDN w:val="0"/>
    </w:pPr>
    <w:rPr>
      <w:rFonts w:ascii="Times New Roman" w:eastAsia="Times New Roman" w:hAnsi="Times New Roman"/>
      <w:szCs w:val="20"/>
    </w:rPr>
  </w:style>
  <w:style w:type="character" w:customStyle="1" w:styleId="TestonotaapidipaginaCarattere">
    <w:name w:val="Testo nota a piè di pagina Carattere"/>
    <w:rPr>
      <w:rFonts w:ascii="Times New Roman" w:eastAsia="Times New Roman" w:hAnsi="Times New Roman" w:cs="Times New Roman"/>
      <w:w w:val="100"/>
      <w:kern w:val="0"/>
      <w:position w:val="-1"/>
      <w:sz w:val="20"/>
      <w:szCs w:val="20"/>
      <w:effect w:val="none"/>
      <w:vertAlign w:val="baseline"/>
      <w:cs w:val="0"/>
      <w:em w:val="none"/>
      <w:lang w:val="it-IT" w:eastAsia="it-IT"/>
    </w:rPr>
  </w:style>
  <w:style w:type="character" w:styleId="Rimandonotaapidipagina">
    <w:name w:val="footnote reference"/>
    <w:rPr>
      <w:w w:val="100"/>
      <w:position w:val="-1"/>
      <w:effect w:val="none"/>
      <w:vertAlign w:val="superscript"/>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7720B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720B4"/>
    <w:rPr>
      <w:position w:val="-1"/>
      <w:szCs w:val="16"/>
    </w:rPr>
  </w:style>
  <w:style w:type="paragraph" w:styleId="Paragrafoelenco">
    <w:name w:val="List Paragraph"/>
    <w:basedOn w:val="Normale"/>
    <w:uiPriority w:val="34"/>
    <w:qFormat/>
    <w:rsid w:val="0003100E"/>
    <w:pPr>
      <w:ind w:left="720"/>
      <w:contextualSpacing/>
    </w:p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UyVNA8S/VZQt76P3ekjhUhZbw==">CgMxLjAyCGguZ2pkZ3hzOAByITFMUUMyMDRLRnVUcndERFUtdHhja1ExeE9PeksxUDBaQw==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1766</Words>
  <Characters>10068</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Riondino</dc:creator>
  <cp:lastModifiedBy>erina pizzi</cp:lastModifiedBy>
  <cp:revision>2</cp:revision>
  <dcterms:created xsi:type="dcterms:W3CDTF">2023-11-10T09:48:00Z</dcterms:created>
  <dcterms:modified xsi:type="dcterms:W3CDTF">2023-11-10T09:48:00Z</dcterms:modified>
</cp:coreProperties>
</file>