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F1565" w14:textId="77777777" w:rsidR="00BC74F4" w:rsidRDefault="00BC74F4">
      <w:pPr>
        <w:pBdr>
          <w:top w:val="nil"/>
          <w:left w:val="nil"/>
          <w:bottom w:val="nil"/>
          <w:right w:val="nil"/>
          <w:between w:val="nil"/>
        </w:pBdr>
        <w:spacing w:line="240" w:lineRule="auto"/>
        <w:ind w:left="0" w:right="-1220" w:hanging="2"/>
        <w:rPr>
          <w:rFonts w:ascii="Arial" w:eastAsia="Arial" w:hAnsi="Arial" w:cs="Arial"/>
          <w:color w:val="000000"/>
          <w:sz w:val="24"/>
          <w:szCs w:val="24"/>
          <w:highlight w:val="white"/>
        </w:rPr>
      </w:pPr>
    </w:p>
    <w:p w14:paraId="59B47BA9" w14:textId="77777777" w:rsidR="00BC74F4" w:rsidRDefault="00BC74F4">
      <w:pPr>
        <w:pBdr>
          <w:top w:val="nil"/>
          <w:left w:val="nil"/>
          <w:bottom w:val="nil"/>
          <w:right w:val="nil"/>
          <w:between w:val="nil"/>
        </w:pBdr>
        <w:spacing w:line="240" w:lineRule="auto"/>
        <w:ind w:left="0" w:right="-1220" w:hanging="2"/>
        <w:jc w:val="both"/>
        <w:rPr>
          <w:rFonts w:ascii="Arial" w:eastAsia="Arial" w:hAnsi="Arial" w:cs="Arial"/>
          <w:b/>
          <w:sz w:val="24"/>
          <w:szCs w:val="24"/>
          <w:highlight w:val="white"/>
        </w:rPr>
      </w:pPr>
    </w:p>
    <w:p w14:paraId="7BF8F688" w14:textId="77777777" w:rsidR="00BC74F4" w:rsidRDefault="007477EA">
      <w:pPr>
        <w:spacing w:line="276" w:lineRule="auto"/>
        <w:ind w:left="0" w:hanging="2"/>
        <w:jc w:val="both"/>
        <w:rPr>
          <w:rFonts w:ascii="Titillium Web" w:eastAsia="Titillium Web" w:hAnsi="Titillium Web" w:cs="Titillium Web"/>
          <w:sz w:val="22"/>
          <w:szCs w:val="22"/>
        </w:rPr>
      </w:pPr>
      <w:bookmarkStart w:id="0" w:name="_heading=h.gjdgxs" w:colFirst="0" w:colLast="0"/>
      <w:bookmarkEnd w:id="0"/>
      <w:r>
        <w:rPr>
          <w:rFonts w:ascii="Titillium Web" w:eastAsia="Titillium Web" w:hAnsi="Titillium Web" w:cs="Titillium Web"/>
          <w:color w:val="000000"/>
          <w:sz w:val="22"/>
          <w:szCs w:val="22"/>
        </w:rPr>
        <w:t>schema di contratto</w:t>
      </w:r>
    </w:p>
    <w:p w14:paraId="1916AE14" w14:textId="77777777" w:rsidR="00BC74F4" w:rsidRDefault="00BC74F4">
      <w:pPr>
        <w:spacing w:line="276" w:lineRule="auto"/>
        <w:ind w:left="0" w:hanging="2"/>
        <w:jc w:val="both"/>
        <w:rPr>
          <w:rFonts w:ascii="Titillium Web" w:eastAsia="Titillium Web" w:hAnsi="Titillium Web" w:cs="Titillium Web"/>
          <w:sz w:val="22"/>
          <w:szCs w:val="22"/>
        </w:rPr>
      </w:pPr>
    </w:p>
    <w:p w14:paraId="1620F3AF" w14:textId="77777777" w:rsidR="00BC74F4" w:rsidRDefault="00BC74F4">
      <w:p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p>
    <w:p w14:paraId="4169F417" w14:textId="2F5F63DA" w:rsidR="00BC74F4" w:rsidRPr="008923AF" w:rsidRDefault="007477EA" w:rsidP="008923AF">
      <w:pPr>
        <w:pBdr>
          <w:top w:val="nil"/>
          <w:left w:val="nil"/>
          <w:bottom w:val="nil"/>
          <w:right w:val="nil"/>
          <w:between w:val="nil"/>
        </w:pBdr>
        <w:spacing w:line="276" w:lineRule="auto"/>
        <w:ind w:left="0" w:right="-1220" w:hanging="2"/>
        <w:jc w:val="both"/>
        <w:rPr>
          <w:rFonts w:ascii="Titillium Web" w:eastAsia="Titillium Web" w:hAnsi="Titillium Web" w:cs="Titillium Web"/>
          <w:b/>
          <w:color w:val="000000"/>
          <w:sz w:val="22"/>
          <w:szCs w:val="22"/>
          <w:highlight w:val="white"/>
        </w:rPr>
      </w:pPr>
      <w:r>
        <w:rPr>
          <w:rFonts w:ascii="Titillium Web" w:eastAsia="Titillium Web" w:hAnsi="Titillium Web" w:cs="Titillium Web"/>
          <w:b/>
          <w:color w:val="000000"/>
          <w:sz w:val="22"/>
          <w:szCs w:val="22"/>
          <w:highlight w:val="white"/>
        </w:rPr>
        <w:t xml:space="preserve">SCHEMA DI CONTRATTO PER </w:t>
      </w:r>
      <w:r>
        <w:rPr>
          <w:rFonts w:ascii="Titillium Web" w:eastAsia="Titillium Web" w:hAnsi="Titillium Web" w:cs="Titillium Web"/>
          <w:b/>
          <w:color w:val="000000"/>
          <w:sz w:val="22"/>
          <w:szCs w:val="22"/>
          <w:highlight w:val="white"/>
        </w:rPr>
        <w:t xml:space="preserve">LA </w:t>
      </w:r>
      <w:r>
        <w:rPr>
          <w:rFonts w:ascii="Titillium Web" w:eastAsia="Titillium Web" w:hAnsi="Titillium Web" w:cs="Titillium Web"/>
          <w:b/>
          <w:color w:val="000000"/>
          <w:sz w:val="22"/>
          <w:szCs w:val="22"/>
          <w:highlight w:val="white"/>
        </w:rPr>
        <w:t xml:space="preserve">FORNITURA DI </w:t>
      </w:r>
      <w:r w:rsidR="008923AF" w:rsidRPr="008923AF">
        <w:rPr>
          <w:rFonts w:ascii="Titillium Web" w:eastAsia="Titillium Web" w:hAnsi="Titillium Web" w:cs="Titillium Web"/>
          <w:b/>
          <w:color w:val="000000"/>
          <w:sz w:val="22"/>
          <w:szCs w:val="22"/>
          <w:highlight w:val="white"/>
        </w:rPr>
        <w:t>LA FORNITURA, INSTALLAZIONE E RESA OPERATIVA DI UNO ‘SPETTROMETRO A TRASFORMATA DI FOURIER (FT-IR) AD ALTA RISOLUZIONE, EVACUABILE E MODULARE,’’</w:t>
      </w:r>
    </w:p>
    <w:p w14:paraId="18C5F4EB" w14:textId="38456211" w:rsidR="00BC74F4" w:rsidRDefault="007477EA">
      <w:p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finanziato nell’ambito della proposta progettuale "IR00000</w:t>
      </w:r>
      <w:r w:rsidR="008923AF">
        <w:rPr>
          <w:rFonts w:ascii="Titillium Web" w:eastAsia="Titillium Web" w:hAnsi="Titillium Web" w:cs="Titillium Web"/>
          <w:color w:val="000000"/>
          <w:sz w:val="22"/>
          <w:szCs w:val="22"/>
          <w:highlight w:val="white"/>
        </w:rPr>
        <w:t>38</w:t>
      </w:r>
      <w:r>
        <w:rPr>
          <w:rFonts w:ascii="Titillium Web" w:eastAsia="Titillium Web" w:hAnsi="Titillium Web" w:cs="Titillium Web"/>
          <w:color w:val="000000"/>
          <w:sz w:val="22"/>
          <w:szCs w:val="22"/>
          <w:highlight w:val="white"/>
        </w:rPr>
        <w:t xml:space="preserve"> - </w:t>
      </w:r>
      <w:r w:rsidR="008923AF" w:rsidRPr="008923AF">
        <w:rPr>
          <w:rFonts w:ascii="Titillium Web" w:eastAsia="Titillium Web" w:hAnsi="Titillium Web" w:cs="Titillium Web"/>
          <w:color w:val="000000"/>
          <w:sz w:val="22"/>
          <w:szCs w:val="22"/>
        </w:rPr>
        <w:t xml:space="preserve">AREA ESFRI “PHYSICAL SCIENCE AND ENGINEERING", </w:t>
      </w:r>
      <w:r>
        <w:rPr>
          <w:rFonts w:ascii="Titillium Web" w:eastAsia="Titillium Web" w:hAnsi="Titillium Web" w:cs="Titillium Web"/>
          <w:color w:val="000000"/>
          <w:sz w:val="22"/>
          <w:szCs w:val="22"/>
          <w:highlight w:val="white"/>
        </w:rPr>
        <w:t xml:space="preserve">", Codice Unico di </w:t>
      </w:r>
      <w:r>
        <w:rPr>
          <w:rFonts w:ascii="Titillium Web" w:eastAsia="Titillium Web" w:hAnsi="Titillium Web" w:cs="Titillium Web"/>
          <w:color w:val="000000"/>
          <w:sz w:val="22"/>
          <w:szCs w:val="22"/>
          <w:highlight w:val="white"/>
        </w:rPr>
        <w:t>Progetto</w:t>
      </w:r>
      <w:r w:rsidR="008923AF">
        <w:rPr>
          <w:rFonts w:ascii="Titillium Web" w:eastAsia="Titillium Web" w:hAnsi="Titillium Web" w:cs="Titillium Web"/>
          <w:color w:val="000000"/>
          <w:sz w:val="22"/>
          <w:szCs w:val="22"/>
          <w:highlight w:val="white"/>
        </w:rPr>
        <w:t xml:space="preserve">: </w:t>
      </w:r>
      <w:r w:rsidR="008923AF" w:rsidRPr="008923AF">
        <w:rPr>
          <w:rFonts w:ascii="Titillium Web" w:eastAsia="Titillium Web" w:hAnsi="Titillium Web" w:cs="Titillium Web"/>
          <w:color w:val="000000"/>
          <w:sz w:val="22"/>
          <w:szCs w:val="22"/>
          <w:highlight w:val="white"/>
        </w:rPr>
        <w:t>C53C22000870006</w:t>
      </w:r>
      <w:r>
        <w:rPr>
          <w:rFonts w:ascii="Titillium Web" w:eastAsia="Titillium Web" w:hAnsi="Titillium Web" w:cs="Titillium Web"/>
          <w:color w:val="000000"/>
          <w:sz w:val="22"/>
          <w:szCs w:val="22"/>
          <w:highlight w:val="white"/>
        </w:rPr>
        <w:t xml:space="preserve"> presentata a seguito dell'Avviso Pubblico" del 28 dicembre 2021, numero 3264, e ammessa a finanziamento nell’ambito degli "Interventi" previsti dalla "Missione 4", denominata "Istruzione e Ricerca", "Componente 2", denominata "Dalla Ricerca alla Impresa" ("M4C2"), "Linea di Investimento 3.1", denominata "Rafforzamento e creazione di Infrastrutture di Ricerca", del "Piano Nazionale di Ripresa e Resilienza" - PNRR"</w:t>
      </w:r>
    </w:p>
    <w:p w14:paraId="7D5197AF" w14:textId="77777777" w:rsidR="00BC74F4" w:rsidRDefault="00BC74F4">
      <w:p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p>
    <w:p w14:paraId="3E351D3E" w14:textId="77777777" w:rsidR="00BC74F4" w:rsidRDefault="00BC74F4">
      <w:pPr>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b/>
          <w:color w:val="000000"/>
          <w:sz w:val="22"/>
          <w:szCs w:val="22"/>
          <w:highlight w:val="white"/>
        </w:rPr>
      </w:pPr>
    </w:p>
    <w:p w14:paraId="16AFB95B" w14:textId="77777777" w:rsidR="00BC74F4" w:rsidRDefault="00BC74F4">
      <w:pPr>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b/>
          <w:color w:val="000000"/>
          <w:sz w:val="22"/>
          <w:szCs w:val="22"/>
          <w:highlight w:val="white"/>
        </w:rPr>
      </w:pPr>
    </w:p>
    <w:p w14:paraId="6E6685C3" w14:textId="77777777" w:rsidR="00BC74F4" w:rsidRDefault="00BC74F4">
      <w:pPr>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b/>
          <w:color w:val="000000"/>
          <w:sz w:val="22"/>
          <w:szCs w:val="22"/>
          <w:highlight w:val="white"/>
        </w:rPr>
      </w:pPr>
    </w:p>
    <w:p w14:paraId="6E268266" w14:textId="77777777" w:rsidR="00BC74F4" w:rsidRDefault="00BC74F4">
      <w:pPr>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b/>
          <w:color w:val="000000"/>
          <w:sz w:val="22"/>
          <w:szCs w:val="22"/>
          <w:highlight w:val="white"/>
        </w:rPr>
      </w:pPr>
    </w:p>
    <w:p w14:paraId="566566EF" w14:textId="77777777" w:rsidR="00BC74F4" w:rsidRDefault="00BC74F4">
      <w:pPr>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b/>
          <w:color w:val="000000"/>
          <w:sz w:val="22"/>
          <w:szCs w:val="22"/>
          <w:highlight w:val="white"/>
        </w:rPr>
      </w:pPr>
    </w:p>
    <w:p w14:paraId="0B2ABD9D" w14:textId="77777777" w:rsidR="00BC74F4" w:rsidRDefault="00BC74F4">
      <w:pPr>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b/>
          <w:color w:val="000000"/>
          <w:sz w:val="22"/>
          <w:szCs w:val="22"/>
          <w:highlight w:val="white"/>
        </w:rPr>
      </w:pPr>
    </w:p>
    <w:p w14:paraId="01B8DAE6" w14:textId="77777777" w:rsidR="00BC74F4" w:rsidRDefault="00BC74F4">
      <w:pPr>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b/>
          <w:color w:val="000000"/>
          <w:sz w:val="22"/>
          <w:szCs w:val="22"/>
          <w:highlight w:val="white"/>
        </w:rPr>
      </w:pPr>
    </w:p>
    <w:p w14:paraId="2BB25923" w14:textId="77777777" w:rsidR="00BC74F4" w:rsidRDefault="00BC74F4">
      <w:pPr>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b/>
          <w:color w:val="000000"/>
          <w:sz w:val="22"/>
          <w:szCs w:val="22"/>
          <w:highlight w:val="white"/>
        </w:rPr>
      </w:pPr>
    </w:p>
    <w:p w14:paraId="7412544D" w14:textId="77777777" w:rsidR="00BC74F4" w:rsidRDefault="00BC74F4">
      <w:pPr>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b/>
          <w:color w:val="000000"/>
          <w:sz w:val="22"/>
          <w:szCs w:val="22"/>
          <w:highlight w:val="white"/>
        </w:rPr>
      </w:pPr>
    </w:p>
    <w:p w14:paraId="7E3914D7" w14:textId="77777777" w:rsidR="00BC74F4" w:rsidRDefault="00BC74F4">
      <w:pPr>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b/>
          <w:color w:val="000000"/>
          <w:sz w:val="22"/>
          <w:szCs w:val="22"/>
          <w:highlight w:val="white"/>
        </w:rPr>
      </w:pPr>
    </w:p>
    <w:p w14:paraId="6EE17A82" w14:textId="77777777" w:rsidR="00BC74F4" w:rsidRDefault="00BC74F4">
      <w:pPr>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b/>
          <w:color w:val="000000"/>
          <w:sz w:val="22"/>
          <w:szCs w:val="22"/>
          <w:highlight w:val="white"/>
        </w:rPr>
      </w:pPr>
    </w:p>
    <w:p w14:paraId="5B25B78C" w14:textId="77777777" w:rsidR="00BC74F4" w:rsidRDefault="00BC74F4">
      <w:pPr>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b/>
          <w:color w:val="000000"/>
          <w:sz w:val="22"/>
          <w:szCs w:val="22"/>
          <w:highlight w:val="white"/>
        </w:rPr>
      </w:pPr>
    </w:p>
    <w:p w14:paraId="50FF6C78" w14:textId="77777777" w:rsidR="00BC74F4" w:rsidRDefault="00BC74F4">
      <w:pPr>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b/>
          <w:color w:val="000000"/>
          <w:sz w:val="22"/>
          <w:szCs w:val="22"/>
          <w:highlight w:val="white"/>
        </w:rPr>
      </w:pPr>
    </w:p>
    <w:p w14:paraId="71F12609" w14:textId="77777777" w:rsidR="00BC74F4" w:rsidRDefault="00BC74F4">
      <w:pPr>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b/>
          <w:color w:val="000000"/>
          <w:sz w:val="22"/>
          <w:szCs w:val="22"/>
          <w:highlight w:val="white"/>
        </w:rPr>
      </w:pPr>
    </w:p>
    <w:p w14:paraId="4B4D1D6E" w14:textId="77777777" w:rsidR="00BC74F4" w:rsidRDefault="00BC74F4">
      <w:pPr>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b/>
          <w:color w:val="000000"/>
          <w:sz w:val="22"/>
          <w:szCs w:val="22"/>
          <w:highlight w:val="white"/>
        </w:rPr>
      </w:pPr>
    </w:p>
    <w:p w14:paraId="686EF008" w14:textId="77777777" w:rsidR="00BC74F4" w:rsidRDefault="00BC74F4">
      <w:pPr>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b/>
          <w:color w:val="000000"/>
          <w:sz w:val="22"/>
          <w:szCs w:val="22"/>
          <w:highlight w:val="white"/>
        </w:rPr>
      </w:pPr>
    </w:p>
    <w:p w14:paraId="02FB5267" w14:textId="77777777" w:rsidR="00BC74F4" w:rsidRDefault="00BC74F4">
      <w:pPr>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b/>
          <w:color w:val="000000"/>
          <w:sz w:val="22"/>
          <w:szCs w:val="22"/>
          <w:highlight w:val="white"/>
        </w:rPr>
      </w:pPr>
    </w:p>
    <w:p w14:paraId="7E94F7AE" w14:textId="77777777" w:rsidR="00BC74F4" w:rsidRDefault="00BC74F4">
      <w:pPr>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b/>
          <w:sz w:val="22"/>
          <w:szCs w:val="22"/>
          <w:highlight w:val="white"/>
        </w:rPr>
      </w:pPr>
    </w:p>
    <w:p w14:paraId="33EECC3E" w14:textId="77777777" w:rsidR="00BC74F4" w:rsidRDefault="00BC74F4">
      <w:pPr>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b/>
          <w:sz w:val="22"/>
          <w:szCs w:val="22"/>
          <w:highlight w:val="white"/>
        </w:rPr>
      </w:pPr>
    </w:p>
    <w:p w14:paraId="6B1E4501" w14:textId="77777777" w:rsidR="00BC74F4" w:rsidRDefault="00BC74F4">
      <w:pPr>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b/>
          <w:color w:val="000000"/>
          <w:sz w:val="22"/>
          <w:szCs w:val="22"/>
          <w:highlight w:val="white"/>
        </w:rPr>
      </w:pPr>
    </w:p>
    <w:p w14:paraId="71375ACB" w14:textId="4171EB30" w:rsidR="008923AF" w:rsidRDefault="007477EA" w:rsidP="008923AF">
      <w:p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b/>
          <w:color w:val="000000"/>
          <w:sz w:val="22"/>
          <w:szCs w:val="22"/>
          <w:highlight w:val="white"/>
        </w:rPr>
        <w:t xml:space="preserve">CONTRATTO </w:t>
      </w:r>
      <w:r w:rsidR="008923AF">
        <w:rPr>
          <w:rFonts w:ascii="Titillium Web" w:eastAsia="Titillium Web" w:hAnsi="Titillium Web" w:cs="Titillium Web"/>
          <w:b/>
          <w:color w:val="000000"/>
          <w:sz w:val="22"/>
          <w:szCs w:val="22"/>
          <w:highlight w:val="white"/>
        </w:rPr>
        <w:t xml:space="preserve">PER LA FORNITURA DI </w:t>
      </w:r>
      <w:r w:rsidR="008923AF" w:rsidRPr="008923AF">
        <w:rPr>
          <w:rFonts w:ascii="Titillium Web" w:eastAsia="Titillium Web" w:hAnsi="Titillium Web" w:cs="Titillium Web"/>
          <w:b/>
          <w:color w:val="000000"/>
          <w:sz w:val="22"/>
          <w:szCs w:val="22"/>
          <w:highlight w:val="white"/>
        </w:rPr>
        <w:t>LA FORNITURA, INSTALLAZIONE E RESA OPERATIVA DI UNO ‘SPETTROMETRO A TRASFORMATA DI FOURIER (FT-IR) AD ALTA RISOLUZIONE, EVACUABILE E MODULARE,’’</w:t>
      </w:r>
      <w:r w:rsidR="008923AF">
        <w:rPr>
          <w:rFonts w:ascii="Titillium Web" w:eastAsia="Titillium Web" w:hAnsi="Titillium Web" w:cs="Titillium Web"/>
          <w:b/>
          <w:color w:val="000000"/>
          <w:sz w:val="22"/>
          <w:szCs w:val="22"/>
          <w:highlight w:val="white"/>
        </w:rPr>
        <w:t xml:space="preserve"> </w:t>
      </w:r>
      <w:r w:rsidR="008923AF">
        <w:rPr>
          <w:rFonts w:ascii="Titillium Web" w:eastAsia="Titillium Web" w:hAnsi="Titillium Web" w:cs="Titillium Web"/>
          <w:color w:val="000000"/>
          <w:sz w:val="22"/>
          <w:szCs w:val="22"/>
          <w:highlight w:val="white"/>
        </w:rPr>
        <w:t>finanziato nell’ambito della proposta progettuale "</w:t>
      </w:r>
      <w:r w:rsidR="008923AF" w:rsidRPr="008923AF">
        <w:rPr>
          <w:rFonts w:ascii="Titillium Web" w:eastAsia="Titillium Web" w:hAnsi="Titillium Web" w:cs="Titillium Web"/>
          <w:b/>
          <w:bCs/>
          <w:color w:val="000000"/>
          <w:sz w:val="22"/>
          <w:szCs w:val="22"/>
          <w:highlight w:val="white"/>
        </w:rPr>
        <w:t>IR0000038</w:t>
      </w:r>
      <w:r w:rsidR="008923AF">
        <w:rPr>
          <w:rFonts w:ascii="Titillium Web" w:eastAsia="Titillium Web" w:hAnsi="Titillium Web" w:cs="Titillium Web"/>
          <w:color w:val="000000"/>
          <w:sz w:val="22"/>
          <w:szCs w:val="22"/>
          <w:highlight w:val="white"/>
        </w:rPr>
        <w:t xml:space="preserve"> - </w:t>
      </w:r>
      <w:r w:rsidR="008923AF" w:rsidRPr="008923AF">
        <w:rPr>
          <w:rFonts w:ascii="Titillium Web" w:eastAsia="Titillium Web" w:hAnsi="Titillium Web" w:cs="Titillium Web"/>
          <w:color w:val="000000"/>
          <w:sz w:val="22"/>
          <w:szCs w:val="22"/>
        </w:rPr>
        <w:t xml:space="preserve">AREA ESFRI “PHYSICAL SCIENCE AND ENGINEERING", </w:t>
      </w:r>
      <w:r w:rsidR="008923AF">
        <w:rPr>
          <w:rFonts w:ascii="Titillium Web" w:eastAsia="Titillium Web" w:hAnsi="Titillium Web" w:cs="Titillium Web"/>
          <w:color w:val="000000"/>
          <w:sz w:val="22"/>
          <w:szCs w:val="22"/>
          <w:highlight w:val="white"/>
        </w:rPr>
        <w:t xml:space="preserve">", Codice Unico di Progetto: </w:t>
      </w:r>
      <w:r w:rsidR="008923AF" w:rsidRPr="008923AF">
        <w:rPr>
          <w:rFonts w:ascii="Titillium Web" w:eastAsia="Titillium Web" w:hAnsi="Titillium Web" w:cs="Titillium Web"/>
          <w:b/>
          <w:bCs/>
          <w:color w:val="000000"/>
          <w:sz w:val="22"/>
          <w:szCs w:val="22"/>
          <w:highlight w:val="white"/>
        </w:rPr>
        <w:t>C53C22000870006</w:t>
      </w:r>
      <w:r w:rsidR="008923AF">
        <w:rPr>
          <w:rFonts w:ascii="Titillium Web" w:eastAsia="Titillium Web" w:hAnsi="Titillium Web" w:cs="Titillium Web"/>
          <w:color w:val="000000"/>
          <w:sz w:val="22"/>
          <w:szCs w:val="22"/>
          <w:highlight w:val="white"/>
        </w:rPr>
        <w:t xml:space="preserve"> presentata a seguito dell'Avviso Pubblico" del 28 dicembre 2021, numero 3264, e ammessa a finanziamento nell’ambito degli "Interventi" previsti dalla "Missione 4", denominata "Istruzione e Ricerca", "Componente 2", denominata "Dalla Ricerca alla Impresa" ("M4C2"), "Linea di Investimento 3.1", denominata "Rafforzamento e creazione di Infrastrutture di Ricerca", del "Piano Nazionale di Ripresa e Resilienza" - PNRR"</w:t>
      </w:r>
    </w:p>
    <w:p w14:paraId="5EEF8775" w14:textId="60A68AB8" w:rsidR="008923AF" w:rsidRPr="008923AF" w:rsidRDefault="008923AF" w:rsidP="008923AF">
      <w:pPr>
        <w:pBdr>
          <w:top w:val="nil"/>
          <w:left w:val="nil"/>
          <w:bottom w:val="nil"/>
          <w:right w:val="nil"/>
          <w:between w:val="nil"/>
        </w:pBdr>
        <w:spacing w:line="276" w:lineRule="auto"/>
        <w:ind w:left="0" w:right="-1220" w:hanging="2"/>
        <w:jc w:val="both"/>
        <w:rPr>
          <w:rFonts w:ascii="Titillium Web" w:eastAsia="Titillium Web" w:hAnsi="Titillium Web" w:cs="Titillium Web"/>
          <w:b/>
          <w:color w:val="000000"/>
          <w:sz w:val="22"/>
          <w:szCs w:val="22"/>
          <w:highlight w:val="white"/>
        </w:rPr>
      </w:pPr>
      <w:r w:rsidRPr="008923AF">
        <w:rPr>
          <w:rFonts w:ascii="Titillium Web" w:eastAsia="Titillium Web" w:hAnsi="Titillium Web" w:cs="Titillium Web"/>
          <w:b/>
          <w:color w:val="000000"/>
          <w:sz w:val="22"/>
          <w:szCs w:val="22"/>
          <w:highlight w:val="white"/>
        </w:rPr>
        <w:t xml:space="preserve">CIG </w:t>
      </w:r>
      <w:r w:rsidRPr="008923AF">
        <w:rPr>
          <w:rFonts w:ascii="Titillium Web" w:eastAsia="Titillium Web" w:hAnsi="Titillium Web" w:cs="Titillium Web"/>
          <w:b/>
          <w:color w:val="000000"/>
          <w:sz w:val="22"/>
          <w:szCs w:val="22"/>
          <w:highlight w:val="white"/>
        </w:rPr>
        <w:t>A022CDFC38</w:t>
      </w:r>
    </w:p>
    <w:p w14:paraId="471DD9FB" w14:textId="77777777" w:rsidR="008923AF" w:rsidRDefault="008923AF" w:rsidP="008923AF">
      <w:p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p>
    <w:p w14:paraId="4D008581" w14:textId="73A3115C" w:rsidR="00BC74F4" w:rsidRDefault="007477EA" w:rsidP="008923AF">
      <w:pPr>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b/>
          <w:color w:val="000000"/>
          <w:sz w:val="22"/>
          <w:szCs w:val="22"/>
          <w:highlight w:val="white"/>
        </w:rPr>
      </w:pPr>
      <w:r>
        <w:rPr>
          <w:rFonts w:ascii="Titillium Web" w:eastAsia="Titillium Web" w:hAnsi="Titillium Web" w:cs="Titillium Web"/>
          <w:b/>
          <w:color w:val="000000"/>
          <w:sz w:val="22"/>
          <w:szCs w:val="22"/>
          <w:highlight w:val="white"/>
        </w:rPr>
        <w:t>TRA</w:t>
      </w:r>
    </w:p>
    <w:p w14:paraId="280E839A" w14:textId="665B1D7A" w:rsidR="00BC74F4" w:rsidRDefault="007477EA">
      <w:pPr>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L</w:t>
      </w:r>
      <w:r>
        <w:rPr>
          <w:rFonts w:ascii="Titillium Web" w:eastAsia="Titillium Web" w:hAnsi="Titillium Web" w:cs="Titillium Web"/>
          <w:color w:val="000000"/>
          <w:sz w:val="22"/>
          <w:szCs w:val="22"/>
          <w:highlight w:val="white"/>
        </w:rPr>
        <w:t>’INAF-</w:t>
      </w:r>
      <w:bookmarkStart w:id="1" w:name="_Hlk148295408"/>
      <w:bookmarkStart w:id="2" w:name="_Hlk148294392"/>
      <w:r w:rsidR="008923AF" w:rsidRPr="008923AF">
        <w:rPr>
          <w:rFonts w:ascii="Titillium Web" w:eastAsia="Titillium Web" w:hAnsi="Titillium Web" w:cs="Titillium Web"/>
          <w:color w:val="000000"/>
          <w:sz w:val="22"/>
          <w:szCs w:val="22"/>
          <w:highlight w:val="white"/>
        </w:rPr>
        <w:t>Istituto di Astrofisica e Planetologia Spaziali</w:t>
      </w:r>
      <w:bookmarkEnd w:id="1"/>
      <w:bookmarkEnd w:id="2"/>
      <w:r>
        <w:rPr>
          <w:rFonts w:ascii="Titillium Web" w:eastAsia="Titillium Web" w:hAnsi="Titillium Web" w:cs="Titillium Web"/>
          <w:color w:val="000000"/>
          <w:sz w:val="22"/>
          <w:szCs w:val="22"/>
          <w:highlight w:val="white"/>
        </w:rPr>
        <w:t xml:space="preserve">, </w:t>
      </w:r>
      <w:r>
        <w:rPr>
          <w:rFonts w:ascii="Titillium Web" w:eastAsia="Titillium Web" w:hAnsi="Titillium Web" w:cs="Titillium Web"/>
          <w:color w:val="000000"/>
          <w:sz w:val="22"/>
          <w:szCs w:val="22"/>
          <w:highlight w:val="white"/>
        </w:rPr>
        <w:t xml:space="preserve">Struttura di Ricerca e Centro di Responsabilità e di Spesa di Secondo Livello dell’Istituto Nazionale di Astrofisica, con sede in </w:t>
      </w:r>
      <w:r w:rsidR="008923AF" w:rsidRPr="008923AF">
        <w:rPr>
          <w:rFonts w:ascii="Titillium Web" w:eastAsia="Titillium Web" w:hAnsi="Titillium Web" w:cs="Titillium Web"/>
          <w:color w:val="000000"/>
          <w:sz w:val="22"/>
          <w:szCs w:val="22"/>
        </w:rPr>
        <w:t>Roma, Via del Fosso del Cavaliere, 100 – 00133 Roma</w:t>
      </w:r>
      <w:r>
        <w:rPr>
          <w:rFonts w:ascii="Titillium Web" w:eastAsia="Titillium Web" w:hAnsi="Titillium Web" w:cs="Titillium Web"/>
          <w:color w:val="000000"/>
          <w:sz w:val="22"/>
          <w:szCs w:val="22"/>
          <w:highlight w:val="white"/>
        </w:rPr>
        <w:t xml:space="preserve">,  Codice Fiscale </w:t>
      </w:r>
      <w:r w:rsidR="008923AF" w:rsidRPr="008923AF">
        <w:rPr>
          <w:rFonts w:ascii="Titillium Web" w:eastAsia="Titillium Web" w:hAnsi="Titillium Web" w:cs="Titillium Web"/>
          <w:color w:val="000000"/>
          <w:sz w:val="22"/>
          <w:szCs w:val="22"/>
        </w:rPr>
        <w:t xml:space="preserve">97220210583 </w:t>
      </w:r>
      <w:r>
        <w:rPr>
          <w:rFonts w:ascii="Titillium Web" w:eastAsia="Titillium Web" w:hAnsi="Titillium Web" w:cs="Titillium Web"/>
          <w:color w:val="000000"/>
          <w:sz w:val="22"/>
          <w:szCs w:val="22"/>
          <w:highlight w:val="white"/>
        </w:rPr>
        <w:t xml:space="preserve">Partita IVA </w:t>
      </w:r>
      <w:r w:rsidR="008923AF">
        <w:rPr>
          <w:rFonts w:ascii="Arial" w:eastAsia="Arial" w:hAnsi="Arial" w:cs="Arial"/>
          <w:color w:val="000000"/>
          <w:sz w:val="24"/>
          <w:szCs w:val="24"/>
          <w:highlight w:val="white"/>
        </w:rPr>
        <w:t xml:space="preserve">06895721006 </w:t>
      </w:r>
      <w:r>
        <w:rPr>
          <w:rFonts w:ascii="Titillium Web" w:eastAsia="Titillium Web" w:hAnsi="Titillium Web" w:cs="Titillium Web"/>
          <w:color w:val="000000"/>
          <w:sz w:val="22"/>
          <w:szCs w:val="22"/>
          <w:highlight w:val="white"/>
        </w:rPr>
        <w:t xml:space="preserve">rappresentato dal Direttore Dott. </w:t>
      </w:r>
      <w:r w:rsidR="008923AF">
        <w:rPr>
          <w:rFonts w:ascii="Titillium Web" w:eastAsia="Titillium Web" w:hAnsi="Titillium Web" w:cs="Titillium Web"/>
          <w:color w:val="000000"/>
          <w:sz w:val="22"/>
          <w:szCs w:val="22"/>
          <w:highlight w:val="white"/>
        </w:rPr>
        <w:t xml:space="preserve">Marco Feroci </w:t>
      </w:r>
      <w:r>
        <w:rPr>
          <w:rFonts w:ascii="Titillium Web" w:eastAsia="Titillium Web" w:hAnsi="Titillium Web" w:cs="Titillium Web"/>
          <w:color w:val="000000"/>
          <w:sz w:val="22"/>
          <w:szCs w:val="22"/>
          <w:highlight w:val="white"/>
        </w:rPr>
        <w:t xml:space="preserve">, nato a </w:t>
      </w:r>
      <w:r w:rsidR="008923AF">
        <w:rPr>
          <w:rFonts w:ascii="Titillium Web" w:eastAsia="Titillium Web" w:hAnsi="Titillium Web" w:cs="Titillium Web"/>
          <w:color w:val="000000"/>
          <w:sz w:val="22"/>
          <w:szCs w:val="22"/>
          <w:highlight w:val="white"/>
        </w:rPr>
        <w:t>Roma</w:t>
      </w:r>
      <w:r>
        <w:rPr>
          <w:rFonts w:ascii="Titillium Web" w:eastAsia="Titillium Web" w:hAnsi="Titillium Web" w:cs="Titillium Web"/>
          <w:color w:val="000000"/>
          <w:sz w:val="22"/>
          <w:szCs w:val="22"/>
          <w:highlight w:val="white"/>
        </w:rPr>
        <w:t xml:space="preserve"> il</w:t>
      </w:r>
      <w:r w:rsidR="008923AF">
        <w:rPr>
          <w:rFonts w:ascii="Titillium Web" w:eastAsia="Titillium Web" w:hAnsi="Titillium Web" w:cs="Titillium Web"/>
          <w:color w:val="000000"/>
          <w:sz w:val="22"/>
          <w:szCs w:val="22"/>
          <w:highlight w:val="white"/>
        </w:rPr>
        <w:t xml:space="preserve"> 02/12/1967</w:t>
      </w:r>
      <w:r>
        <w:rPr>
          <w:rFonts w:ascii="Titillium Web" w:eastAsia="Titillium Web" w:hAnsi="Titillium Web" w:cs="Titillium Web"/>
          <w:color w:val="000000"/>
          <w:sz w:val="22"/>
          <w:szCs w:val="22"/>
          <w:highlight w:val="white"/>
        </w:rPr>
        <w:t xml:space="preserve"> Codice Fiscale: </w:t>
      </w:r>
      <w:r w:rsidR="008923AF">
        <w:rPr>
          <w:rFonts w:ascii="Titillium Web" w:eastAsia="Titillium Web" w:hAnsi="Titillium Web" w:cs="Titillium Web"/>
          <w:color w:val="000000"/>
          <w:sz w:val="22"/>
          <w:szCs w:val="22"/>
          <w:highlight w:val="white"/>
        </w:rPr>
        <w:t>FRCMRC67T02H501O</w:t>
      </w:r>
      <w:r>
        <w:rPr>
          <w:rFonts w:ascii="Titillium Web" w:eastAsia="Titillium Web" w:hAnsi="Titillium Web" w:cs="Titillium Web"/>
          <w:color w:val="000000"/>
          <w:sz w:val="22"/>
          <w:szCs w:val="22"/>
          <w:highlight w:val="white"/>
        </w:rPr>
        <w:t xml:space="preserve"> nominato con Decreto INAF </w:t>
      </w:r>
      <w:r w:rsidR="008923AF" w:rsidRPr="008923AF">
        <w:rPr>
          <w:rFonts w:ascii="Titillium Web" w:eastAsia="Titillium Web" w:hAnsi="Titillium Web" w:cs="Titillium Web"/>
          <w:color w:val="000000"/>
          <w:sz w:val="22"/>
          <w:szCs w:val="22"/>
        </w:rPr>
        <w:t>del 22 dicembre 2021 numero 47</w:t>
      </w:r>
      <w:r w:rsidR="008923AF">
        <w:rPr>
          <w:rFonts w:ascii="Titillium Web" w:eastAsia="Titillium Web" w:hAnsi="Titillium Web" w:cs="Titillium Web"/>
          <w:color w:val="000000"/>
          <w:sz w:val="22"/>
          <w:szCs w:val="22"/>
        </w:rPr>
        <w:t xml:space="preserve"> </w:t>
      </w:r>
      <w:r>
        <w:rPr>
          <w:rFonts w:ascii="Titillium Web" w:eastAsia="Titillium Web" w:hAnsi="Titillium Web" w:cs="Titillium Web"/>
          <w:color w:val="000000"/>
          <w:sz w:val="22"/>
          <w:szCs w:val="22"/>
          <w:highlight w:val="white"/>
        </w:rPr>
        <w:t>e</w:t>
      </w:r>
      <w:r w:rsidR="008923AF">
        <w:rPr>
          <w:rFonts w:ascii="Titillium Web" w:eastAsia="Titillium Web" w:hAnsi="Titillium Web" w:cs="Titillium Web"/>
          <w:color w:val="000000"/>
          <w:sz w:val="22"/>
          <w:szCs w:val="22"/>
          <w:highlight w:val="white"/>
        </w:rPr>
        <w:t xml:space="preserve"> </w:t>
      </w:r>
      <w:r>
        <w:rPr>
          <w:rFonts w:ascii="Titillium Web" w:eastAsia="Titillium Web" w:hAnsi="Titillium Web" w:cs="Titillium Web"/>
          <w:color w:val="000000"/>
          <w:sz w:val="22"/>
          <w:szCs w:val="22"/>
          <w:highlight w:val="white"/>
        </w:rPr>
        <w:t xml:space="preserve"> pertanto autorizzato alla stipula del presente contratto, il quale interviene esclusivamente in nome, per conto e nell'interesse della medesima struttura in forza di designazione ricevuta con Delibera del </w:t>
      </w:r>
      <w:r w:rsidR="008923AF">
        <w:rPr>
          <w:rFonts w:ascii="Titillium Web" w:eastAsia="Titillium Web" w:hAnsi="Titillium Web" w:cs="Titillium Web"/>
          <w:sz w:val="22"/>
          <w:szCs w:val="22"/>
          <w:highlight w:val="white"/>
        </w:rPr>
        <w:t xml:space="preserve">30/12/2021 </w:t>
      </w:r>
      <w:r>
        <w:rPr>
          <w:rFonts w:ascii="Titillium Web" w:eastAsia="Titillium Web" w:hAnsi="Titillium Web" w:cs="Titillium Web"/>
          <w:sz w:val="22"/>
          <w:szCs w:val="22"/>
          <w:highlight w:val="white"/>
        </w:rPr>
        <w:t xml:space="preserve"> numero</w:t>
      </w:r>
      <w:r>
        <w:rPr>
          <w:rFonts w:ascii="Titillium Web" w:eastAsia="Titillium Web" w:hAnsi="Titillium Web" w:cs="Titillium Web"/>
          <w:color w:val="000000"/>
          <w:sz w:val="22"/>
          <w:szCs w:val="22"/>
          <w:highlight w:val="white"/>
        </w:rPr>
        <w:t xml:space="preserve"> </w:t>
      </w:r>
      <w:r w:rsidR="008923AF">
        <w:rPr>
          <w:rFonts w:ascii="Titillium Web" w:eastAsia="Titillium Web" w:hAnsi="Titillium Web" w:cs="Titillium Web"/>
          <w:color w:val="000000"/>
          <w:sz w:val="22"/>
          <w:szCs w:val="22"/>
          <w:highlight w:val="white"/>
        </w:rPr>
        <w:t>177</w:t>
      </w:r>
      <w:r>
        <w:rPr>
          <w:rFonts w:ascii="Titillium Web" w:eastAsia="Titillium Web" w:hAnsi="Titillium Web" w:cs="Titillium Web"/>
          <w:color w:val="000000"/>
          <w:sz w:val="22"/>
          <w:szCs w:val="22"/>
          <w:highlight w:val="white"/>
        </w:rPr>
        <w:t xml:space="preserve"> (qui di seguito indicato come “INAF” o “INAF–</w:t>
      </w:r>
      <w:r w:rsidR="008923AF" w:rsidRPr="008923AF">
        <w:rPr>
          <w:rFonts w:ascii="Titillium Web" w:eastAsia="Titillium Web" w:hAnsi="Titillium Web" w:cs="Titillium Web"/>
          <w:color w:val="000000"/>
          <w:sz w:val="22"/>
          <w:szCs w:val="22"/>
          <w:highlight w:val="white"/>
        </w:rPr>
        <w:t xml:space="preserve"> </w:t>
      </w:r>
      <w:r w:rsidR="008923AF" w:rsidRPr="008923AF">
        <w:rPr>
          <w:rFonts w:ascii="Titillium Web" w:eastAsia="Titillium Web" w:hAnsi="Titillium Web" w:cs="Titillium Web"/>
          <w:color w:val="000000"/>
          <w:sz w:val="22"/>
          <w:szCs w:val="22"/>
          <w:highlight w:val="white"/>
        </w:rPr>
        <w:t>Istituto di Astrofisica e Planetologia Spaziali</w:t>
      </w:r>
      <w:r w:rsidR="008923AF">
        <w:rPr>
          <w:rFonts w:ascii="Titillium Web" w:eastAsia="Titillium Web" w:hAnsi="Titillium Web" w:cs="Titillium Web"/>
          <w:color w:val="000000"/>
          <w:sz w:val="22"/>
          <w:szCs w:val="22"/>
          <w:highlight w:val="white"/>
        </w:rPr>
        <w:t xml:space="preserve">” </w:t>
      </w:r>
      <w:r>
        <w:rPr>
          <w:rFonts w:ascii="Titillium Web" w:eastAsia="Titillium Web" w:hAnsi="Titillium Web" w:cs="Titillium Web"/>
          <w:color w:val="000000"/>
          <w:sz w:val="22"/>
          <w:szCs w:val="22"/>
          <w:highlight w:val="white"/>
        </w:rPr>
        <w:t>o “l’Amministrazione”),</w:t>
      </w:r>
    </w:p>
    <w:p w14:paraId="4FDB6756" w14:textId="77777777" w:rsidR="00BC74F4" w:rsidRDefault="007477EA">
      <w:pPr>
        <w:widowControl w:val="0"/>
        <w:pBdr>
          <w:top w:val="nil"/>
          <w:left w:val="nil"/>
          <w:bottom w:val="nil"/>
          <w:right w:val="nil"/>
          <w:between w:val="nil"/>
        </w:pBdr>
        <w:spacing w:line="276" w:lineRule="auto"/>
        <w:ind w:left="0" w:right="-1220" w:hanging="2"/>
        <w:jc w:val="center"/>
        <w:rPr>
          <w:rFonts w:ascii="Titillium Web" w:eastAsia="Titillium Web" w:hAnsi="Titillium Web" w:cs="Titillium Web"/>
          <w:b/>
          <w:color w:val="000000"/>
          <w:sz w:val="22"/>
          <w:szCs w:val="22"/>
          <w:highlight w:val="white"/>
        </w:rPr>
      </w:pPr>
      <w:r>
        <w:rPr>
          <w:rFonts w:ascii="Titillium Web" w:eastAsia="Titillium Web" w:hAnsi="Titillium Web" w:cs="Titillium Web"/>
          <w:b/>
          <w:color w:val="000000"/>
          <w:sz w:val="22"/>
          <w:szCs w:val="22"/>
          <w:highlight w:val="white"/>
        </w:rPr>
        <w:t>E</w:t>
      </w:r>
    </w:p>
    <w:p w14:paraId="2F183785" w14:textId="77777777" w:rsidR="00BC74F4" w:rsidRDefault="00BC74F4">
      <w:pPr>
        <w:widowControl w:val="0"/>
        <w:pBdr>
          <w:top w:val="nil"/>
          <w:left w:val="nil"/>
          <w:bottom w:val="nil"/>
          <w:right w:val="nil"/>
          <w:between w:val="nil"/>
        </w:pBdr>
        <w:spacing w:line="276" w:lineRule="auto"/>
        <w:ind w:left="0" w:right="-1220" w:hanging="2"/>
        <w:jc w:val="center"/>
        <w:rPr>
          <w:rFonts w:ascii="Titillium Web" w:eastAsia="Titillium Web" w:hAnsi="Titillium Web" w:cs="Titillium Web"/>
          <w:b/>
          <w:color w:val="000000"/>
          <w:sz w:val="22"/>
          <w:szCs w:val="22"/>
          <w:highlight w:val="white"/>
        </w:rPr>
      </w:pPr>
    </w:p>
    <w:p w14:paraId="4F16A4A9" w14:textId="77777777" w:rsidR="00BC74F4" w:rsidRDefault="007477EA">
      <w:pPr>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 xml:space="preserve">L’Impresa ________________, con sede in ________________, iscritta al registro delle imprese di ____________, numero di iscrizione _____________, codice fiscale e partita IVA </w:t>
      </w:r>
      <w:r>
        <w:rPr>
          <w:rFonts w:ascii="Titillium Web" w:eastAsia="Titillium Web" w:hAnsi="Titillium Web" w:cs="Titillium Web"/>
          <w:color w:val="000000"/>
          <w:sz w:val="22"/>
          <w:szCs w:val="22"/>
          <w:highlight w:val="white"/>
        </w:rPr>
        <w:lastRenderedPageBreak/>
        <w:t xml:space="preserve">_____________, </w:t>
      </w:r>
      <w:r>
        <w:rPr>
          <w:rFonts w:ascii="Titillium Web" w:eastAsia="Titillium Web" w:hAnsi="Titillium Web" w:cs="Titillium Web"/>
          <w:color w:val="000000"/>
          <w:sz w:val="22"/>
          <w:szCs w:val="22"/>
          <w:highlight w:val="white"/>
        </w:rPr>
        <w:t>indirizzo PEC _______________, rappresentata da ______________, nella qualità di __________, di seguito definita Operatore Economico.</w:t>
      </w:r>
    </w:p>
    <w:p w14:paraId="32B7BBD7" w14:textId="77777777" w:rsidR="00BC74F4" w:rsidRDefault="00BC74F4">
      <w:pPr>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p>
    <w:p w14:paraId="4DADF5C8" w14:textId="77777777" w:rsidR="00BC74F4" w:rsidRDefault="007477EA">
      <w:pPr>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L’Amministrazione e l’Operatore Economico di seguito saranno definiti anche, singolarmente, “Parte” e, congiuntamente, “Parti”.</w:t>
      </w:r>
    </w:p>
    <w:p w14:paraId="25BAC8DB" w14:textId="77777777" w:rsidR="00BC74F4" w:rsidRDefault="00BC74F4">
      <w:pPr>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p>
    <w:p w14:paraId="09B8532D" w14:textId="77777777" w:rsidR="00BC74F4" w:rsidRDefault="007477EA">
      <w:pPr>
        <w:widowControl w:val="0"/>
        <w:pBdr>
          <w:top w:val="nil"/>
          <w:left w:val="nil"/>
          <w:bottom w:val="nil"/>
          <w:right w:val="nil"/>
          <w:between w:val="nil"/>
        </w:pBdr>
        <w:spacing w:line="276" w:lineRule="auto"/>
        <w:ind w:left="0" w:right="-1220" w:hanging="2"/>
        <w:jc w:val="center"/>
        <w:rPr>
          <w:rFonts w:ascii="Titillium Web" w:eastAsia="Titillium Web" w:hAnsi="Titillium Web" w:cs="Titillium Web"/>
          <w:b/>
          <w:color w:val="000000"/>
          <w:sz w:val="22"/>
          <w:szCs w:val="22"/>
          <w:highlight w:val="white"/>
        </w:rPr>
      </w:pPr>
      <w:r>
        <w:rPr>
          <w:rFonts w:ascii="Titillium Web" w:eastAsia="Titillium Web" w:hAnsi="Titillium Web" w:cs="Titillium Web"/>
          <w:b/>
          <w:color w:val="000000"/>
          <w:sz w:val="22"/>
          <w:szCs w:val="22"/>
          <w:highlight w:val="white"/>
        </w:rPr>
        <w:t>PREMESSE</w:t>
      </w:r>
    </w:p>
    <w:p w14:paraId="7F5BA21C" w14:textId="77777777" w:rsidR="00BC74F4" w:rsidRDefault="007477EA">
      <w:pPr>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b/>
          <w:color w:val="000000"/>
          <w:sz w:val="22"/>
          <w:szCs w:val="22"/>
          <w:highlight w:val="white"/>
        </w:rPr>
      </w:pPr>
      <w:r>
        <w:rPr>
          <w:rFonts w:ascii="Titillium Web" w:eastAsia="Titillium Web" w:hAnsi="Titillium Web" w:cs="Titillium Web"/>
          <w:b/>
          <w:color w:val="000000"/>
          <w:sz w:val="22"/>
          <w:szCs w:val="22"/>
          <w:highlight w:val="white"/>
        </w:rPr>
        <w:t>Premesso che:</w:t>
      </w:r>
    </w:p>
    <w:p w14:paraId="79671849" w14:textId="77777777" w:rsidR="00BC74F4" w:rsidRDefault="007477EA">
      <w:pPr>
        <w:widowControl w:val="0"/>
        <w:numPr>
          <w:ilvl w:val="0"/>
          <w:numId w:val="1"/>
        </w:num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il presente contratto, le cui prestazioni non sono separabili, disciplina l’esecuzione consistente nella fornitura di __________, ivi inclusi _______________________</w:t>
      </w:r>
    </w:p>
    <w:p w14:paraId="031B9C23" w14:textId="77777777" w:rsidR="00BC74F4" w:rsidRDefault="007477EA">
      <w:pPr>
        <w:widowControl w:val="0"/>
        <w:numPr>
          <w:ilvl w:val="0"/>
          <w:numId w:val="1"/>
        </w:num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 xml:space="preserve">La fornitura è volta alla realizzazione di </w:t>
      </w:r>
      <w:r>
        <w:rPr>
          <w:rFonts w:ascii="Titillium Web" w:eastAsia="Titillium Web" w:hAnsi="Titillium Web" w:cs="Titillium Web"/>
          <w:color w:val="000000"/>
          <w:sz w:val="22"/>
          <w:szCs w:val="22"/>
          <w:highlight w:val="white"/>
        </w:rPr>
        <w:t>______________, per il quale l’Istituto Nazionale di Astrofisica-INAF: </w:t>
      </w:r>
    </w:p>
    <w:p w14:paraId="5541A8AE" w14:textId="77777777" w:rsidR="00BC74F4" w:rsidRDefault="007477EA">
      <w:pPr>
        <w:widowControl w:val="0"/>
        <w:numPr>
          <w:ilvl w:val="0"/>
          <w:numId w:val="2"/>
        </w:num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in accordo con il Ministero dell’Università e Ricerca, partecipa al progetto ______ ________;</w:t>
      </w:r>
    </w:p>
    <w:p w14:paraId="52F0FD5E" w14:textId="77777777" w:rsidR="00BC74F4" w:rsidRDefault="007477EA">
      <w:pPr>
        <w:widowControl w:val="0"/>
        <w:numPr>
          <w:ilvl w:val="0"/>
          <w:numId w:val="2"/>
        </w:num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 xml:space="preserve">ha ricevuto un finanziamento dal Ministero dell’ Università e della Ricerca nell’ambito del Piano Nazionale di Ripresa e Resilienza (PNRR) per il progetto “_____” proposta progettuale "IR00000XX” presentata a seguito </w:t>
      </w:r>
      <w:r>
        <w:rPr>
          <w:rFonts w:ascii="Titillium Web" w:eastAsia="Titillium Web" w:hAnsi="Titillium Web" w:cs="Titillium Web"/>
          <w:sz w:val="22"/>
          <w:szCs w:val="22"/>
          <w:highlight w:val="white"/>
        </w:rPr>
        <w:t>dell'Avviso</w:t>
      </w:r>
      <w:r>
        <w:rPr>
          <w:rFonts w:ascii="Titillium Web" w:eastAsia="Titillium Web" w:hAnsi="Titillium Web" w:cs="Titillium Web"/>
          <w:color w:val="000000"/>
          <w:sz w:val="22"/>
          <w:szCs w:val="22"/>
          <w:highlight w:val="white"/>
        </w:rPr>
        <w:t xml:space="preserve"> Pubblico del 28 dicembre 2021, numero 3264, e ammessa a finanziamento nell’ambito degli "Interventi" previsti dalla "Missione 4” Istruzione e Ricerca, "Componente 2", "Dalla Ricerca alla Impresa" (M4C2), "Linea di Investimento 3.1“, “Fondo per la realizzazione di un sistema integrato di infrastrutture di ricerca e innovazione”, finanziato dall’Unione europea – NextGenerationEU, CUP: ____________;</w:t>
      </w:r>
    </w:p>
    <w:p w14:paraId="0234EE0C" w14:textId="77777777" w:rsidR="00BC74F4" w:rsidRDefault="007477EA">
      <w:pPr>
        <w:widowControl w:val="0"/>
        <w:numPr>
          <w:ilvl w:val="0"/>
          <w:numId w:val="1"/>
        </w:num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il presente contratto è regolato dalla Direttiva 2014/24/UE del Parlamento Europeo e dal Decreto Legislativo 31 marzo 2023, n. 36 recante “</w:t>
      </w:r>
      <w:r>
        <w:rPr>
          <w:rFonts w:ascii="Titillium Web" w:eastAsia="Titillium Web" w:hAnsi="Titillium Web" w:cs="Titillium Web"/>
          <w:i/>
          <w:color w:val="000000"/>
          <w:sz w:val="22"/>
          <w:szCs w:val="22"/>
          <w:highlight w:val="white"/>
        </w:rPr>
        <w:t>Codice dei contratti pubblici</w:t>
      </w:r>
      <w:r>
        <w:rPr>
          <w:rFonts w:ascii="Titillium Web" w:eastAsia="Titillium Web" w:hAnsi="Titillium Web" w:cs="Titillium Web"/>
          <w:color w:val="000000"/>
          <w:sz w:val="22"/>
          <w:szCs w:val="22"/>
          <w:highlight w:val="white"/>
        </w:rPr>
        <w:t>”; </w:t>
      </w:r>
    </w:p>
    <w:p w14:paraId="439CEF3E" w14:textId="77777777" w:rsidR="00BC74F4" w:rsidRDefault="007477EA">
      <w:pPr>
        <w:widowControl w:val="0"/>
        <w:numPr>
          <w:ilvl w:val="0"/>
          <w:numId w:val="1"/>
        </w:num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che l’Operatore Economico _________ (</w:t>
      </w:r>
      <w:r>
        <w:rPr>
          <w:rFonts w:ascii="Titillium Web" w:eastAsia="Titillium Web" w:hAnsi="Titillium Web" w:cs="Titillium Web"/>
          <w:i/>
          <w:color w:val="000000"/>
          <w:sz w:val="22"/>
          <w:szCs w:val="22"/>
          <w:highlight w:val="white"/>
        </w:rPr>
        <w:t>specificare se singolo o eventualmente in forma collettiva e la composizione</w:t>
      </w:r>
      <w:r>
        <w:rPr>
          <w:rFonts w:ascii="Titillium Web" w:eastAsia="Titillium Web" w:hAnsi="Titillium Web" w:cs="Titillium Web"/>
          <w:color w:val="000000"/>
          <w:sz w:val="22"/>
          <w:szCs w:val="22"/>
          <w:highlight w:val="white"/>
        </w:rPr>
        <w:t>) è risultato/a aggiudicatario della gara aperta europea per l’affidamento in oggetto.</w:t>
      </w:r>
    </w:p>
    <w:p w14:paraId="7692EFCB" w14:textId="77777777" w:rsidR="00BC74F4" w:rsidRDefault="00BC74F4">
      <w:pPr>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p>
    <w:p w14:paraId="7E064085" w14:textId="77777777" w:rsidR="00BC74F4" w:rsidRDefault="007477EA">
      <w:pPr>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b/>
          <w:color w:val="000000"/>
          <w:sz w:val="22"/>
          <w:szCs w:val="22"/>
          <w:highlight w:val="white"/>
        </w:rPr>
      </w:pPr>
      <w:r>
        <w:rPr>
          <w:rFonts w:ascii="Titillium Web" w:eastAsia="Titillium Web" w:hAnsi="Titillium Web" w:cs="Titillium Web"/>
          <w:b/>
          <w:color w:val="000000"/>
          <w:sz w:val="22"/>
          <w:szCs w:val="22"/>
          <w:highlight w:val="white"/>
        </w:rPr>
        <w:t>PREMESSO altresì che:</w:t>
      </w:r>
    </w:p>
    <w:p w14:paraId="50E61F3C" w14:textId="77777777" w:rsidR="00BC74F4" w:rsidRDefault="007477EA">
      <w:pPr>
        <w:widowControl w:val="0"/>
        <w:numPr>
          <w:ilvl w:val="0"/>
          <w:numId w:val="3"/>
        </w:numPr>
        <w:pBdr>
          <w:top w:val="nil"/>
          <w:left w:val="nil"/>
          <w:bottom w:val="nil"/>
          <w:right w:val="nil"/>
          <w:between w:val="nil"/>
        </w:pBdr>
        <w:spacing w:line="276" w:lineRule="auto"/>
        <w:ind w:left="0" w:right="-1134" w:hanging="2"/>
        <w:jc w:val="both"/>
        <w:rPr>
          <w:rFonts w:ascii="Titillium Web" w:eastAsia="Titillium Web" w:hAnsi="Titillium Web" w:cs="Titillium Web"/>
          <w:color w:val="000000"/>
          <w:sz w:val="22"/>
          <w:szCs w:val="22"/>
          <w:highlight w:val="white"/>
        </w:rPr>
      </w:pPr>
      <w:bookmarkStart w:id="3" w:name="_heading=h.3znysh7" w:colFirst="0" w:colLast="0"/>
      <w:bookmarkEnd w:id="3"/>
      <w:r>
        <w:rPr>
          <w:rFonts w:ascii="Titillium Web" w:eastAsia="Titillium Web" w:hAnsi="Titillium Web" w:cs="Titillium Web"/>
          <w:color w:val="000000"/>
          <w:sz w:val="22"/>
          <w:szCs w:val="22"/>
          <w:highlight w:val="white"/>
        </w:rPr>
        <w:t xml:space="preserve">L’Operatore Economico, con la sottoscrizione del presente contratto, si impegna a </w:t>
      </w:r>
      <w:r>
        <w:rPr>
          <w:rFonts w:ascii="Titillium Web" w:eastAsia="Titillium Web" w:hAnsi="Titillium Web" w:cs="Titillium Web"/>
          <w:color w:val="000000"/>
          <w:sz w:val="22"/>
          <w:szCs w:val="22"/>
          <w:highlight w:val="white"/>
        </w:rPr>
        <w:t>realizzare _____________________________________________________________;</w:t>
      </w:r>
    </w:p>
    <w:p w14:paraId="27491073" w14:textId="77777777" w:rsidR="00BC74F4" w:rsidRDefault="007477EA">
      <w:pPr>
        <w:widowControl w:val="0"/>
        <w:numPr>
          <w:ilvl w:val="0"/>
          <w:numId w:val="3"/>
        </w:numPr>
        <w:pBdr>
          <w:top w:val="nil"/>
          <w:left w:val="nil"/>
          <w:bottom w:val="nil"/>
          <w:right w:val="nil"/>
          <w:between w:val="nil"/>
        </w:pBdr>
        <w:spacing w:line="276" w:lineRule="auto"/>
        <w:ind w:left="0" w:right="-1134"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 xml:space="preserve">Il progetto ______ (per il quale si chiede la realizzazione di" _____________________________”) è compreso nel programma triennale dei progetti di </w:t>
      </w:r>
      <w:r>
        <w:rPr>
          <w:rFonts w:ascii="Titillium Web" w:eastAsia="Titillium Web" w:hAnsi="Titillium Web" w:cs="Titillium Web"/>
          <w:color w:val="000000"/>
          <w:sz w:val="22"/>
          <w:szCs w:val="22"/>
          <w:highlight w:val="white"/>
        </w:rPr>
        <w:lastRenderedPageBreak/>
        <w:t>ricerca INAF;</w:t>
      </w:r>
    </w:p>
    <w:p w14:paraId="3908C27A" w14:textId="77777777" w:rsidR="00BC74F4" w:rsidRDefault="007477EA">
      <w:pPr>
        <w:widowControl w:val="0"/>
        <w:numPr>
          <w:ilvl w:val="0"/>
          <w:numId w:val="3"/>
        </w:numPr>
        <w:pBdr>
          <w:top w:val="nil"/>
          <w:left w:val="nil"/>
          <w:bottom w:val="nil"/>
          <w:right w:val="nil"/>
          <w:between w:val="nil"/>
        </w:pBdr>
        <w:spacing w:line="276" w:lineRule="auto"/>
        <w:ind w:left="0" w:right="-1134"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La procedura di gara aperta è inserita nel Piano triennale acquisti dell’Ente con CUI _______________;</w:t>
      </w:r>
    </w:p>
    <w:p w14:paraId="20198CBA" w14:textId="77777777" w:rsidR="00BC74F4" w:rsidRDefault="007477EA">
      <w:pPr>
        <w:widowControl w:val="0"/>
        <w:numPr>
          <w:ilvl w:val="0"/>
          <w:numId w:val="3"/>
        </w:numPr>
        <w:pBdr>
          <w:top w:val="nil"/>
          <w:left w:val="nil"/>
          <w:bottom w:val="nil"/>
          <w:right w:val="nil"/>
          <w:between w:val="nil"/>
        </w:pBdr>
        <w:spacing w:line="276" w:lineRule="auto"/>
        <w:ind w:left="0" w:right="-1134"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Con Determina n. __________ del ___________ (repertoriata con Protocollo n. _____________ del ________) Il Direttore dell’INAF-O_____ ha indetto ai sensi dell’art 71 del d.lgs. 31 marzo 2023, n. 36 (di seguito denominato Codice Appalti), una gara europea a procedura aperta telematica sopra soglia comunitaria per la fornitura oggetto del presente contratto;</w:t>
      </w:r>
    </w:p>
    <w:p w14:paraId="0F387D36" w14:textId="77777777" w:rsidR="00BC74F4" w:rsidRDefault="007477EA">
      <w:pPr>
        <w:widowControl w:val="0"/>
        <w:numPr>
          <w:ilvl w:val="0"/>
          <w:numId w:val="3"/>
        </w:numPr>
        <w:pBdr>
          <w:top w:val="nil"/>
          <w:left w:val="nil"/>
          <w:bottom w:val="nil"/>
          <w:right w:val="nil"/>
          <w:between w:val="nil"/>
        </w:pBdr>
        <w:spacing w:line="276" w:lineRule="auto"/>
        <w:ind w:left="0" w:right="-1134"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w:t>
      </w:r>
      <w:r>
        <w:rPr>
          <w:rFonts w:ascii="Titillium Web" w:eastAsia="Titillium Web" w:hAnsi="Titillium Web" w:cs="Titillium Web"/>
          <w:i/>
          <w:color w:val="000000"/>
          <w:sz w:val="22"/>
          <w:szCs w:val="22"/>
          <w:highlight w:val="white"/>
        </w:rPr>
        <w:t>Le Parti possono inserire gli strumenti di programmazione previsti dalla normativa vigente, a seconda dell’opera da realizzare, e ogni altro provvedimento ritenuto rilevante ai fini della stipula del Contratto</w:t>
      </w:r>
      <w:r>
        <w:rPr>
          <w:rFonts w:ascii="Titillium Web" w:eastAsia="Titillium Web" w:hAnsi="Titillium Web" w:cs="Titillium Web"/>
          <w:color w:val="000000"/>
          <w:sz w:val="22"/>
          <w:szCs w:val="22"/>
          <w:highlight w:val="white"/>
        </w:rPr>
        <w:t>);</w:t>
      </w:r>
    </w:p>
    <w:p w14:paraId="05283898" w14:textId="77777777" w:rsidR="00BC74F4" w:rsidRDefault="007477EA">
      <w:pPr>
        <w:widowControl w:val="0"/>
        <w:numPr>
          <w:ilvl w:val="0"/>
          <w:numId w:val="3"/>
        </w:numPr>
        <w:pBdr>
          <w:top w:val="nil"/>
          <w:left w:val="nil"/>
          <w:bottom w:val="nil"/>
          <w:right w:val="nil"/>
          <w:between w:val="nil"/>
        </w:pBdr>
        <w:spacing w:line="276" w:lineRule="auto"/>
        <w:ind w:left="0" w:right="-1134"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In data ______________, è stato pubblicato il Bando di Gara sulla Gazzetta Ufficiale dell’Unione Europea (GUUE) n. _____________ e in data __________ sulla Gazzetta Ufficiale Italiana (GURI) foglio inserzioni n. _________ del ______ (</w:t>
      </w:r>
      <w:r>
        <w:rPr>
          <w:rFonts w:ascii="Titillium Web" w:eastAsia="Titillium Web" w:hAnsi="Titillium Web" w:cs="Titillium Web"/>
          <w:i/>
          <w:color w:val="000000"/>
          <w:sz w:val="22"/>
          <w:szCs w:val="22"/>
          <w:highlight w:val="white"/>
        </w:rPr>
        <w:t>inserire data</w:t>
      </w:r>
      <w:r>
        <w:rPr>
          <w:rFonts w:ascii="Titillium Web" w:eastAsia="Titillium Web" w:hAnsi="Titillium Web" w:cs="Titillium Web"/>
          <w:color w:val="000000"/>
          <w:sz w:val="22"/>
          <w:szCs w:val="22"/>
          <w:highlight w:val="white"/>
        </w:rPr>
        <w:t>) e per estratto, sui seguenti quotidiani ____________________;</w:t>
      </w:r>
    </w:p>
    <w:p w14:paraId="730FC6A1" w14:textId="77777777" w:rsidR="00BC74F4" w:rsidRDefault="007477EA">
      <w:pPr>
        <w:widowControl w:val="0"/>
        <w:numPr>
          <w:ilvl w:val="0"/>
          <w:numId w:val="3"/>
        </w:numPr>
        <w:pBdr>
          <w:top w:val="nil"/>
          <w:left w:val="nil"/>
          <w:bottom w:val="nil"/>
          <w:right w:val="nil"/>
          <w:between w:val="nil"/>
        </w:pBdr>
        <w:spacing w:line="276" w:lineRule="auto"/>
        <w:ind w:left="0" w:right="-1134"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In data _____________, il RUP, Dott. __________ nominato con Determina n. _________ del __________, con relazione del _________ registrata al protocollo il ____________ con n. ___________ ha individuato (specificare l’aggiudicatario) ____________ costituito da _____________</w:t>
      </w:r>
      <w:r>
        <w:rPr>
          <w:rFonts w:ascii="Titillium Web" w:eastAsia="Titillium Web" w:hAnsi="Titillium Web" w:cs="Titillium Web"/>
          <w:sz w:val="22"/>
          <w:szCs w:val="22"/>
          <w:highlight w:val="white"/>
        </w:rPr>
        <w:t>___</w:t>
      </w:r>
      <w:r>
        <w:rPr>
          <w:rFonts w:ascii="Titillium Web" w:eastAsia="Titillium Web" w:hAnsi="Titillium Web" w:cs="Titillium Web"/>
          <w:color w:val="000000"/>
          <w:sz w:val="22"/>
          <w:szCs w:val="22"/>
          <w:highlight w:val="white"/>
        </w:rPr>
        <w:t xml:space="preserve"> quale affidatario finale del servizio/fornitura;</w:t>
      </w:r>
    </w:p>
    <w:p w14:paraId="3F43FD28" w14:textId="77777777" w:rsidR="00BC74F4" w:rsidRDefault="007477EA">
      <w:pPr>
        <w:widowControl w:val="0"/>
        <w:numPr>
          <w:ilvl w:val="0"/>
          <w:numId w:val="3"/>
        </w:numPr>
        <w:pBdr>
          <w:top w:val="nil"/>
          <w:left w:val="nil"/>
          <w:bottom w:val="nil"/>
          <w:right w:val="nil"/>
          <w:between w:val="nil"/>
        </w:pBdr>
        <w:spacing w:line="276" w:lineRule="auto"/>
        <w:ind w:left="0" w:right="-1134"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In data _______, con provvedimento ______</w:t>
      </w:r>
      <w:r>
        <w:rPr>
          <w:rFonts w:ascii="Titillium Web" w:eastAsia="Titillium Web" w:hAnsi="Titillium Web" w:cs="Titillium Web"/>
          <w:sz w:val="22"/>
          <w:szCs w:val="22"/>
          <w:highlight w:val="white"/>
        </w:rPr>
        <w:t xml:space="preserve"> </w:t>
      </w:r>
      <w:r>
        <w:rPr>
          <w:rFonts w:ascii="Titillium Web" w:eastAsia="Titillium Web" w:hAnsi="Titillium Web" w:cs="Titillium Web"/>
          <w:color w:val="000000"/>
          <w:sz w:val="22"/>
          <w:szCs w:val="22"/>
          <w:highlight w:val="white"/>
        </w:rPr>
        <w:t>(</w:t>
      </w:r>
      <w:r>
        <w:rPr>
          <w:rFonts w:ascii="Titillium Web" w:eastAsia="Titillium Web" w:hAnsi="Titillium Web" w:cs="Titillium Web"/>
          <w:i/>
          <w:color w:val="000000"/>
          <w:sz w:val="22"/>
          <w:szCs w:val="22"/>
          <w:highlight w:val="white"/>
        </w:rPr>
        <w:t>specificare il provvedimento</w:t>
      </w:r>
      <w:r>
        <w:rPr>
          <w:rFonts w:ascii="Titillium Web" w:eastAsia="Titillium Web" w:hAnsi="Titillium Web" w:cs="Titillium Web"/>
          <w:color w:val="000000"/>
          <w:sz w:val="22"/>
          <w:szCs w:val="22"/>
          <w:highlight w:val="white"/>
        </w:rPr>
        <w:t xml:space="preserve">) n. _________, l’Amministrazione ha disposto l’affidamento del servizio/della fornitura in favore di _______________, costituito da _______________, in qualità di </w:t>
      </w:r>
      <w:r>
        <w:rPr>
          <w:rFonts w:ascii="Titillium Web" w:eastAsia="Titillium Web" w:hAnsi="Titillium Web" w:cs="Titillium Web"/>
          <w:color w:val="000000"/>
          <w:sz w:val="22"/>
          <w:szCs w:val="22"/>
          <w:highlight w:val="white"/>
        </w:rPr>
        <w:t>Operatore Economico;</w:t>
      </w:r>
    </w:p>
    <w:p w14:paraId="5FD1D84D" w14:textId="0AC8C3EE" w:rsidR="00BC74F4" w:rsidRPr="00877927" w:rsidRDefault="007477EA" w:rsidP="00877927">
      <w:pPr>
        <w:widowControl w:val="0"/>
        <w:numPr>
          <w:ilvl w:val="0"/>
          <w:numId w:val="3"/>
        </w:numPr>
        <w:pBdr>
          <w:top w:val="nil"/>
          <w:left w:val="nil"/>
          <w:bottom w:val="nil"/>
          <w:right w:val="nil"/>
          <w:between w:val="nil"/>
        </w:pBdr>
        <w:spacing w:line="276" w:lineRule="auto"/>
        <w:ind w:left="0" w:right="-1134"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 xml:space="preserve"> (</w:t>
      </w:r>
      <w:r>
        <w:rPr>
          <w:rFonts w:ascii="Titillium Web" w:eastAsia="Titillium Web" w:hAnsi="Titillium Web" w:cs="Titillium Web"/>
          <w:i/>
          <w:color w:val="000000"/>
          <w:sz w:val="22"/>
          <w:szCs w:val="22"/>
          <w:highlight w:val="white"/>
        </w:rPr>
        <w:t>nel caso in cui sia stato costituito un raggruppamento</w:t>
      </w:r>
      <w:r>
        <w:rPr>
          <w:rFonts w:ascii="Titillium Web" w:eastAsia="Titillium Web" w:hAnsi="Titillium Web" w:cs="Titillium Web"/>
          <w:color w:val="000000"/>
          <w:sz w:val="22"/>
          <w:szCs w:val="22"/>
          <w:highlight w:val="white"/>
        </w:rPr>
        <w:t xml:space="preserve">) in data __________, ai sensi dell’articolo ___________ del Bando/disciplinare di Gara e dell’articolo 68, del D.lgs. n. 36, del 31 marzo 2023, è stata costituito il </w:t>
      </w:r>
      <w:r>
        <w:rPr>
          <w:rFonts w:ascii="Titillium Web" w:eastAsia="Titillium Web" w:hAnsi="Titillium Web" w:cs="Titillium Web"/>
          <w:color w:val="000000"/>
          <w:sz w:val="22"/>
          <w:szCs w:val="22"/>
          <w:highlight w:val="white"/>
        </w:rPr>
        <w:t>Raggruppamento temporaneo di Imprese (</w:t>
      </w:r>
      <w:r>
        <w:rPr>
          <w:rFonts w:ascii="Titillium Web" w:eastAsia="Titillium Web" w:hAnsi="Titillium Web" w:cs="Titillium Web"/>
          <w:i/>
          <w:color w:val="000000"/>
          <w:sz w:val="22"/>
          <w:szCs w:val="22"/>
          <w:highlight w:val="white"/>
        </w:rPr>
        <w:t>specificare nome e forma societaria</w:t>
      </w:r>
      <w:r>
        <w:rPr>
          <w:rFonts w:ascii="Titillium Web" w:eastAsia="Titillium Web" w:hAnsi="Titillium Web" w:cs="Titillium Web"/>
          <w:color w:val="000000"/>
          <w:sz w:val="22"/>
          <w:szCs w:val="22"/>
          <w:highlight w:val="white"/>
        </w:rPr>
        <w:t>) con capitale sociale di euro _________, sede legale in ________, alla via ___________, n. _________, codice fiscale e P.IVA __________, e iscrizione al Registro delle Imprese ____________, la quale è subentrata a titolo originario nella posizione dell’Operatore Economico;</w:t>
      </w:r>
    </w:p>
    <w:p w14:paraId="1063E781" w14:textId="77777777" w:rsidR="00BC74F4" w:rsidRDefault="007477EA">
      <w:pPr>
        <w:widowControl w:val="0"/>
        <w:pBdr>
          <w:top w:val="nil"/>
          <w:left w:val="nil"/>
          <w:bottom w:val="nil"/>
          <w:right w:val="nil"/>
          <w:between w:val="nil"/>
        </w:pBdr>
        <w:spacing w:line="276" w:lineRule="auto"/>
        <w:ind w:left="0" w:right="-1220" w:hanging="2"/>
        <w:jc w:val="center"/>
        <w:rPr>
          <w:rFonts w:ascii="Titillium Web" w:eastAsia="Titillium Web" w:hAnsi="Titillium Web" w:cs="Titillium Web"/>
          <w:b/>
          <w:color w:val="000000"/>
          <w:sz w:val="22"/>
          <w:szCs w:val="22"/>
          <w:highlight w:val="white"/>
        </w:rPr>
      </w:pPr>
      <w:r>
        <w:rPr>
          <w:rFonts w:ascii="Titillium Web" w:eastAsia="Titillium Web" w:hAnsi="Titillium Web" w:cs="Titillium Web"/>
          <w:b/>
          <w:color w:val="000000"/>
          <w:sz w:val="22"/>
          <w:szCs w:val="22"/>
          <w:highlight w:val="white"/>
        </w:rPr>
        <w:t>TUTTO CIÒ PREMESSO</w:t>
      </w:r>
    </w:p>
    <w:p w14:paraId="63B4F80F" w14:textId="77777777" w:rsidR="00BC74F4" w:rsidRDefault="00BC74F4">
      <w:pPr>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b/>
          <w:color w:val="000000"/>
          <w:sz w:val="22"/>
          <w:szCs w:val="22"/>
          <w:highlight w:val="white"/>
        </w:rPr>
      </w:pPr>
    </w:p>
    <w:p w14:paraId="309D3A22" w14:textId="77777777" w:rsidR="00BC74F4" w:rsidRDefault="007477EA">
      <w:pPr>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b/>
          <w:color w:val="000000"/>
          <w:sz w:val="22"/>
          <w:szCs w:val="22"/>
          <w:highlight w:val="white"/>
        </w:rPr>
      </w:pPr>
      <w:r>
        <w:rPr>
          <w:rFonts w:ascii="Titillium Web" w:eastAsia="Titillium Web" w:hAnsi="Titillium Web" w:cs="Titillium Web"/>
          <w:b/>
          <w:color w:val="000000"/>
          <w:sz w:val="22"/>
          <w:szCs w:val="22"/>
          <w:highlight w:val="white"/>
        </w:rPr>
        <w:lastRenderedPageBreak/>
        <w:t>SI CONVIENE E SI STIPULA QUANTO SEGUE </w:t>
      </w:r>
    </w:p>
    <w:p w14:paraId="1ACBE64C" w14:textId="77777777" w:rsidR="00BC74F4" w:rsidRDefault="00BC74F4">
      <w:pPr>
        <w:keepNext/>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sz w:val="22"/>
          <w:szCs w:val="22"/>
          <w:highlight w:val="white"/>
        </w:rPr>
      </w:pPr>
    </w:p>
    <w:p w14:paraId="1B4EB114" w14:textId="77777777" w:rsidR="00BC74F4" w:rsidRDefault="007477EA">
      <w:pPr>
        <w:widowControl w:val="0"/>
        <w:pBdr>
          <w:top w:val="nil"/>
          <w:left w:val="nil"/>
          <w:bottom w:val="nil"/>
          <w:right w:val="nil"/>
          <w:between w:val="nil"/>
        </w:pBdr>
        <w:tabs>
          <w:tab w:val="left" w:pos="1134"/>
        </w:tabs>
        <w:spacing w:line="276" w:lineRule="auto"/>
        <w:ind w:left="0" w:right="-1220" w:hanging="2"/>
        <w:jc w:val="center"/>
        <w:rPr>
          <w:rFonts w:ascii="Titillium Web" w:eastAsia="Titillium Web" w:hAnsi="Titillium Web" w:cs="Titillium Web"/>
          <w:color w:val="000000"/>
          <w:sz w:val="22"/>
          <w:szCs w:val="22"/>
          <w:highlight w:val="white"/>
        </w:rPr>
      </w:pPr>
      <w:r>
        <w:rPr>
          <w:rFonts w:ascii="Titillium Web" w:eastAsia="Titillium Web" w:hAnsi="Titillium Web" w:cs="Titillium Web"/>
          <w:b/>
          <w:color w:val="000000"/>
          <w:sz w:val="22"/>
          <w:szCs w:val="22"/>
          <w:highlight w:val="white"/>
          <w:u w:val="single"/>
        </w:rPr>
        <w:t>Art.  Valore delle premesse e degli allegati</w:t>
      </w:r>
    </w:p>
    <w:p w14:paraId="34EBF9F9" w14:textId="77777777" w:rsidR="00BC74F4" w:rsidRDefault="00BC74F4">
      <w:pPr>
        <w:ind w:left="0" w:right="567" w:hanging="2"/>
        <w:jc w:val="both"/>
        <w:rPr>
          <w:rFonts w:ascii="Titillium Web" w:eastAsia="Titillium Web" w:hAnsi="Titillium Web" w:cs="Titillium Web"/>
          <w:sz w:val="22"/>
          <w:szCs w:val="22"/>
          <w:highlight w:val="white"/>
        </w:rPr>
      </w:pPr>
    </w:p>
    <w:p w14:paraId="5BE197A7" w14:textId="77777777" w:rsidR="00BC74F4" w:rsidRDefault="007477EA">
      <w:pPr>
        <w:widowControl w:val="0"/>
        <w:pBdr>
          <w:top w:val="nil"/>
          <w:left w:val="nil"/>
          <w:bottom w:val="nil"/>
          <w:right w:val="nil"/>
          <w:between w:val="nil"/>
        </w:pBdr>
        <w:tabs>
          <w:tab w:val="left" w:pos="1134"/>
        </w:tabs>
        <w:spacing w:line="276" w:lineRule="auto"/>
        <w:ind w:left="0" w:right="-1220" w:hanging="2"/>
        <w:jc w:val="both"/>
        <w:rPr>
          <w:rFonts w:ascii="Titillium Web" w:eastAsia="Titillium Web" w:hAnsi="Titillium Web" w:cs="Titillium Web"/>
          <w:sz w:val="22"/>
          <w:szCs w:val="22"/>
          <w:highlight w:val="white"/>
        </w:rPr>
      </w:pPr>
      <w:r>
        <w:rPr>
          <w:rFonts w:ascii="Titillium Web" w:eastAsia="Titillium Web" w:hAnsi="Titillium Web" w:cs="Titillium Web"/>
          <w:color w:val="000000"/>
          <w:sz w:val="22"/>
          <w:szCs w:val="22"/>
          <w:highlight w:val="white"/>
        </w:rPr>
        <w:t xml:space="preserve">Le premesse di cui sopra, gli atti e i documenti richiamati nelle medesime e nella restante parte del presente contratto, ivi inclusi, il Capitolato Tecnico, l’offerta economica dell'OPERATORE ECONOMICO </w:t>
      </w:r>
      <w:r>
        <w:rPr>
          <w:rFonts w:ascii="Titillium Web" w:eastAsia="Titillium Web" w:hAnsi="Titillium Web" w:cs="Titillium Web"/>
          <w:b/>
          <w:color w:val="C00000"/>
          <w:sz w:val="22"/>
          <w:szCs w:val="22"/>
          <w:highlight w:val="white"/>
        </w:rPr>
        <w:t>[in caso di avvio anticipato:</w:t>
      </w:r>
      <w:r>
        <w:rPr>
          <w:rFonts w:ascii="Titillium Web" w:eastAsia="Titillium Web" w:hAnsi="Titillium Web" w:cs="Titillium Web"/>
          <w:color w:val="C00000"/>
          <w:sz w:val="22"/>
          <w:szCs w:val="22"/>
          <w:highlight w:val="white"/>
        </w:rPr>
        <w:t xml:space="preserve"> </w:t>
      </w:r>
      <w:r>
        <w:rPr>
          <w:rFonts w:ascii="Titillium Web" w:eastAsia="Titillium Web" w:hAnsi="Titillium Web" w:cs="Titillium Web"/>
          <w:color w:val="000000"/>
          <w:sz w:val="22"/>
          <w:szCs w:val="22"/>
          <w:highlight w:val="white"/>
        </w:rPr>
        <w:t xml:space="preserve">il verbale di </w:t>
      </w:r>
      <w:r>
        <w:rPr>
          <w:rFonts w:ascii="Titillium Web" w:eastAsia="Titillium Web" w:hAnsi="Titillium Web" w:cs="Titillium Web"/>
          <w:color w:val="000000"/>
          <w:sz w:val="22"/>
          <w:szCs w:val="22"/>
          <w:highlight w:val="white"/>
        </w:rPr>
        <w:t>avvio anticipato</w:t>
      </w:r>
      <w:r>
        <w:rPr>
          <w:rFonts w:ascii="Titillium Web" w:eastAsia="Titillium Web" w:hAnsi="Titillium Web" w:cs="Titillium Web"/>
          <w:b/>
          <w:color w:val="C00000"/>
          <w:sz w:val="22"/>
          <w:szCs w:val="22"/>
          <w:highlight w:val="white"/>
        </w:rPr>
        <w:t>]</w:t>
      </w:r>
      <w:r>
        <w:rPr>
          <w:rFonts w:ascii="Titillium Web" w:eastAsia="Titillium Web" w:hAnsi="Titillium Web" w:cs="Titillium Web"/>
          <w:color w:val="C00000"/>
          <w:sz w:val="22"/>
          <w:szCs w:val="22"/>
          <w:highlight w:val="white"/>
        </w:rPr>
        <w:t xml:space="preserve"> </w:t>
      </w:r>
      <w:r>
        <w:rPr>
          <w:rFonts w:ascii="Titillium Web" w:eastAsia="Titillium Web" w:hAnsi="Titillium Web" w:cs="Titillium Web"/>
          <w:color w:val="000000"/>
          <w:sz w:val="22"/>
          <w:szCs w:val="22"/>
          <w:highlight w:val="white"/>
        </w:rPr>
        <w:t xml:space="preserve">ancorché non materialmente allegati, costituiscono parte integrante e sostanziale del Contratto. </w:t>
      </w:r>
      <w:r>
        <w:rPr>
          <w:rFonts w:ascii="Titillium Web" w:eastAsia="Titillium Web" w:hAnsi="Titillium Web" w:cs="Titillium Web"/>
          <w:b/>
          <w:color w:val="C00000"/>
          <w:sz w:val="22"/>
          <w:szCs w:val="22"/>
          <w:highlight w:val="white"/>
        </w:rPr>
        <w:t>[</w:t>
      </w:r>
      <w:r>
        <w:rPr>
          <w:rFonts w:ascii="Titillium Web" w:eastAsia="Titillium Web" w:hAnsi="Titillium Web" w:cs="Titillium Web"/>
          <w:color w:val="000000"/>
          <w:sz w:val="22"/>
          <w:szCs w:val="22"/>
          <w:highlight w:val="white"/>
        </w:rPr>
        <w:t xml:space="preserve">La prestazione formante oggetto del presente Contratto prevede/non prevede rischi da interferenza </w:t>
      </w:r>
      <w:r w:rsidRPr="00877927">
        <w:rPr>
          <w:rFonts w:ascii="Titillium Web" w:eastAsia="Titillium Web" w:hAnsi="Titillium Web" w:cs="Titillium Web"/>
          <w:i/>
          <w:color w:val="C00000"/>
          <w:sz w:val="22"/>
          <w:szCs w:val="22"/>
          <w:highlight w:val="white"/>
        </w:rPr>
        <w:t>nel primo caso fare riferimento al DUVRI</w:t>
      </w:r>
      <w:r>
        <w:rPr>
          <w:rFonts w:ascii="Titillium Web" w:eastAsia="Titillium Web" w:hAnsi="Titillium Web" w:cs="Titillium Web"/>
          <w:b/>
          <w:color w:val="C00000"/>
          <w:sz w:val="22"/>
          <w:szCs w:val="22"/>
          <w:highlight w:val="white"/>
        </w:rPr>
        <w:t>]</w:t>
      </w:r>
      <w:r>
        <w:rPr>
          <w:rFonts w:ascii="Titillium Web" w:eastAsia="Titillium Web" w:hAnsi="Titillium Web" w:cs="Titillium Web"/>
          <w:color w:val="000000"/>
          <w:sz w:val="22"/>
          <w:szCs w:val="22"/>
          <w:highlight w:val="white"/>
        </w:rPr>
        <w:t>.</w:t>
      </w:r>
    </w:p>
    <w:p w14:paraId="7883C578" w14:textId="77777777" w:rsidR="00BC74F4" w:rsidRDefault="00BC74F4">
      <w:pPr>
        <w:widowControl w:val="0"/>
        <w:pBdr>
          <w:top w:val="nil"/>
          <w:left w:val="nil"/>
          <w:bottom w:val="nil"/>
          <w:right w:val="nil"/>
          <w:between w:val="nil"/>
        </w:pBdr>
        <w:tabs>
          <w:tab w:val="left" w:pos="1134"/>
        </w:tabs>
        <w:spacing w:line="276" w:lineRule="auto"/>
        <w:ind w:left="0" w:right="-1220" w:hanging="2"/>
        <w:jc w:val="both"/>
        <w:rPr>
          <w:rFonts w:ascii="Titillium Web" w:eastAsia="Titillium Web" w:hAnsi="Titillium Web" w:cs="Titillium Web"/>
          <w:color w:val="000000"/>
          <w:sz w:val="22"/>
          <w:szCs w:val="22"/>
          <w:highlight w:val="white"/>
        </w:rPr>
      </w:pPr>
    </w:p>
    <w:p w14:paraId="723B8AB2" w14:textId="77777777" w:rsidR="00BC74F4" w:rsidRDefault="007477EA">
      <w:pPr>
        <w:widowControl w:val="0"/>
        <w:pBdr>
          <w:top w:val="nil"/>
          <w:left w:val="nil"/>
          <w:bottom w:val="nil"/>
          <w:right w:val="nil"/>
          <w:between w:val="nil"/>
        </w:pBdr>
        <w:tabs>
          <w:tab w:val="left" w:pos="1134"/>
        </w:tabs>
        <w:spacing w:line="276" w:lineRule="auto"/>
        <w:ind w:left="0" w:right="-1220" w:hanging="2"/>
        <w:jc w:val="center"/>
        <w:rPr>
          <w:rFonts w:ascii="Titillium Web" w:eastAsia="Titillium Web" w:hAnsi="Titillium Web" w:cs="Titillium Web"/>
          <w:b/>
          <w:color w:val="000000"/>
          <w:sz w:val="22"/>
          <w:szCs w:val="22"/>
          <w:highlight w:val="white"/>
          <w:u w:val="single"/>
        </w:rPr>
      </w:pPr>
      <w:r>
        <w:rPr>
          <w:rFonts w:ascii="Titillium Web" w:eastAsia="Titillium Web" w:hAnsi="Titillium Web" w:cs="Titillium Web"/>
          <w:b/>
          <w:color w:val="000000"/>
          <w:sz w:val="22"/>
          <w:szCs w:val="22"/>
          <w:highlight w:val="white"/>
        </w:rPr>
        <w:t xml:space="preserve">Art. </w:t>
      </w:r>
      <w:r>
        <w:rPr>
          <w:rFonts w:ascii="Titillium Web" w:eastAsia="Titillium Web" w:hAnsi="Titillium Web" w:cs="Titillium Web"/>
          <w:b/>
          <w:color w:val="000000"/>
          <w:sz w:val="22"/>
          <w:szCs w:val="22"/>
          <w:highlight w:val="white"/>
          <w:u w:val="single"/>
        </w:rPr>
        <w:t>Norme regolatrici e disciplina applicabile</w:t>
      </w:r>
    </w:p>
    <w:p w14:paraId="7144C379" w14:textId="77777777" w:rsidR="00BC74F4" w:rsidRDefault="007477EA">
      <w:pPr>
        <w:widowControl w:val="0"/>
        <w:pBdr>
          <w:top w:val="nil"/>
          <w:left w:val="nil"/>
          <w:bottom w:val="nil"/>
          <w:right w:val="nil"/>
          <w:between w:val="nil"/>
        </w:pBdr>
        <w:tabs>
          <w:tab w:val="left" w:pos="1134"/>
        </w:tabs>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L'esecuzione dell’appalto oggetto del presente Contratto è regolata:</w:t>
      </w:r>
    </w:p>
    <w:p w14:paraId="760C000D" w14:textId="77777777" w:rsidR="00BC74F4" w:rsidRDefault="007477EA">
      <w:pPr>
        <w:widowControl w:val="0"/>
        <w:numPr>
          <w:ilvl w:val="0"/>
          <w:numId w:val="6"/>
        </w:num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dalle clausole e dagli allegati del presente Contratto e dalla documentazione relativa al presente affidamento;</w:t>
      </w:r>
    </w:p>
    <w:p w14:paraId="456ADFBE" w14:textId="77777777" w:rsidR="00BC74F4" w:rsidRDefault="007477EA">
      <w:pPr>
        <w:widowControl w:val="0"/>
        <w:numPr>
          <w:ilvl w:val="0"/>
          <w:numId w:val="6"/>
        </w:num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sz w:val="22"/>
          <w:szCs w:val="22"/>
          <w:highlight w:val="white"/>
        </w:rPr>
        <w:t xml:space="preserve">dal Decreto </w:t>
      </w:r>
      <w:r>
        <w:rPr>
          <w:rFonts w:ascii="Titillium Web" w:eastAsia="Titillium Web" w:hAnsi="Titillium Web" w:cs="Titillium Web"/>
          <w:sz w:val="22"/>
          <w:szCs w:val="22"/>
          <w:highlight w:val="white"/>
        </w:rPr>
        <w:t>legislativo 31 marzo 2023, n. 36 e dai relativi allegati;</w:t>
      </w:r>
    </w:p>
    <w:p w14:paraId="301660F4" w14:textId="77777777" w:rsidR="00BC74F4" w:rsidRDefault="007477EA">
      <w:pPr>
        <w:widowControl w:val="0"/>
        <w:numPr>
          <w:ilvl w:val="0"/>
          <w:numId w:val="6"/>
        </w:numPr>
        <w:pBdr>
          <w:top w:val="nil"/>
          <w:left w:val="nil"/>
          <w:bottom w:val="nil"/>
          <w:right w:val="nil"/>
          <w:between w:val="nil"/>
        </w:pBdr>
        <w:spacing w:line="276" w:lineRule="auto"/>
        <w:ind w:left="0" w:right="-1220" w:hanging="2"/>
        <w:jc w:val="both"/>
        <w:rPr>
          <w:rFonts w:ascii="Titillium Web" w:eastAsia="Titillium Web" w:hAnsi="Titillium Web" w:cs="Titillium Web"/>
          <w:sz w:val="22"/>
          <w:szCs w:val="22"/>
          <w:highlight w:val="white"/>
        </w:rPr>
      </w:pPr>
      <w:r>
        <w:rPr>
          <w:rFonts w:ascii="Titillium Web" w:eastAsia="Titillium Web" w:hAnsi="Titillium Web" w:cs="Titillium Web"/>
          <w:sz w:val="22"/>
          <w:szCs w:val="22"/>
          <w:highlight w:val="white"/>
        </w:rPr>
        <w:t xml:space="preserve">dal decreto-legge n. 77 del 2021, convertito, con modificazioni, dalla legge n. 108 del 2021, al decreto-legge 24 febbraio 2023, n. 13, nonché le specifiche disposizioni legislative </w:t>
      </w:r>
      <w:r>
        <w:rPr>
          <w:rFonts w:ascii="Titillium Web" w:eastAsia="Titillium Web" w:hAnsi="Titillium Web" w:cs="Titillium Web"/>
          <w:sz w:val="22"/>
          <w:szCs w:val="22"/>
          <w:highlight w:val="white"/>
        </w:rPr>
        <w:t>finalizzate a semplificare e agevolare la realizzazione degli obiettivi stabiliti dal PNRR, dal PNC nonché dal Piano nazionale integrato per l'energia e il clima 2030 di cui al regolamento (UE) 2018/1999 del Parlamento europeo e del Consiglio, dell'11 dicembre 2018.</w:t>
      </w:r>
    </w:p>
    <w:p w14:paraId="65923DD1" w14:textId="77777777" w:rsidR="00BC74F4" w:rsidRDefault="007477EA">
      <w:pPr>
        <w:keepNext/>
        <w:widowControl w:val="0"/>
        <w:numPr>
          <w:ilvl w:val="0"/>
          <w:numId w:val="6"/>
        </w:num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dal Decreto del Presidente della Repubblica 5 ottobre 2010, numero 207 e successive modifiche ed integrazioni per le parti ancora vigenti;</w:t>
      </w:r>
    </w:p>
    <w:p w14:paraId="365A5836" w14:textId="77777777" w:rsidR="00BC74F4" w:rsidRDefault="007477EA">
      <w:pPr>
        <w:keepNext/>
        <w:widowControl w:val="0"/>
        <w:numPr>
          <w:ilvl w:val="0"/>
          <w:numId w:val="6"/>
        </w:num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 xml:space="preserve">dal "Regolamento </w:t>
      </w:r>
      <w:r>
        <w:rPr>
          <w:rFonts w:ascii="Titillium Web" w:eastAsia="Titillium Web" w:hAnsi="Titillium Web" w:cs="Titillium Web"/>
          <w:sz w:val="22"/>
          <w:szCs w:val="22"/>
          <w:highlight w:val="white"/>
        </w:rPr>
        <w:t>sull'amministrazione,</w:t>
      </w:r>
      <w:r>
        <w:rPr>
          <w:rFonts w:ascii="Titillium Web" w:eastAsia="Titillium Web" w:hAnsi="Titillium Web" w:cs="Titillium Web"/>
          <w:color w:val="000000"/>
          <w:sz w:val="22"/>
          <w:szCs w:val="22"/>
          <w:highlight w:val="white"/>
        </w:rPr>
        <w:t xml:space="preserve"> sulla contabilità e sull</w:t>
      </w:r>
      <w:r>
        <w:rPr>
          <w:rFonts w:ascii="Titillium Web" w:eastAsia="Titillium Web" w:hAnsi="Titillium Web" w:cs="Titillium Web"/>
          <w:sz w:val="22"/>
          <w:szCs w:val="22"/>
          <w:highlight w:val="white"/>
        </w:rPr>
        <w:t>’</w:t>
      </w:r>
      <w:r>
        <w:rPr>
          <w:rFonts w:ascii="Titillium Web" w:eastAsia="Titillium Web" w:hAnsi="Titillium Web" w:cs="Titillium Web"/>
          <w:color w:val="000000"/>
          <w:sz w:val="22"/>
          <w:szCs w:val="22"/>
          <w:highlight w:val="white"/>
        </w:rPr>
        <w:t xml:space="preserve">attività contrattuale dell’Istituto Nazionale di Astrofisica", predisposto ai sensi dell’articolo 18, commi 1 e 3, del Decreto Legislativo 4 giugno 2003, numero 138, approvato dal Consiglio di Amministrazione con la Delibera del 2 dicembre 2004, numero 3, e pubblicato nel Supplemento Ordinario della Gazzetta Ufficiale della Repubblica Italiana, Serie Generale, del 23 dicembre 2004, numero 300, successivamente modificato con Delibera </w:t>
      </w:r>
      <w:r>
        <w:rPr>
          <w:rFonts w:ascii="Titillium Web" w:eastAsia="Titillium Web" w:hAnsi="Titillium Web" w:cs="Titillium Web"/>
          <w:color w:val="000000"/>
          <w:sz w:val="22"/>
          <w:szCs w:val="22"/>
          <w:highlight w:val="white"/>
        </w:rPr>
        <w:lastRenderedPageBreak/>
        <w:t>del 2 luglio 2009, numero 46;</w:t>
      </w:r>
    </w:p>
    <w:p w14:paraId="42F6EEED" w14:textId="77777777" w:rsidR="00BC74F4" w:rsidRDefault="007477EA">
      <w:pPr>
        <w:keepNext/>
        <w:widowControl w:val="0"/>
        <w:numPr>
          <w:ilvl w:val="0"/>
          <w:numId w:val="6"/>
        </w:num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dalle norme in materia di Amministrazione del Patrimonio e Contabilità di Stato;</w:t>
      </w:r>
    </w:p>
    <w:p w14:paraId="1638D5BD" w14:textId="77777777" w:rsidR="00BC74F4" w:rsidRDefault="007477EA">
      <w:pPr>
        <w:keepNext/>
        <w:widowControl w:val="0"/>
        <w:numPr>
          <w:ilvl w:val="0"/>
          <w:numId w:val="6"/>
        </w:num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 xml:space="preserve">dal </w:t>
      </w:r>
      <w:proofErr w:type="gramStart"/>
      <w:r>
        <w:rPr>
          <w:rFonts w:ascii="Titillium Web" w:eastAsia="Titillium Web" w:hAnsi="Titillium Web" w:cs="Titillium Web"/>
          <w:color w:val="000000"/>
          <w:sz w:val="22"/>
          <w:szCs w:val="22"/>
          <w:highlight w:val="white"/>
        </w:rPr>
        <w:t>Codice Civile</w:t>
      </w:r>
      <w:proofErr w:type="gramEnd"/>
      <w:r>
        <w:rPr>
          <w:rFonts w:ascii="Titillium Web" w:eastAsia="Titillium Web" w:hAnsi="Titillium Web" w:cs="Titillium Web"/>
          <w:color w:val="000000"/>
          <w:sz w:val="22"/>
          <w:szCs w:val="22"/>
          <w:highlight w:val="white"/>
        </w:rPr>
        <w:t>;</w:t>
      </w:r>
    </w:p>
    <w:p w14:paraId="1D6C6CC2" w14:textId="77777777" w:rsidR="00BC74F4" w:rsidRDefault="007477EA">
      <w:pPr>
        <w:keepNext/>
        <w:widowControl w:val="0"/>
        <w:numPr>
          <w:ilvl w:val="0"/>
          <w:numId w:val="6"/>
        </w:num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dal Decreto Legislativo 9 aprile 2008, numero 81 e successive modifiche ed integrazioni;</w:t>
      </w:r>
    </w:p>
    <w:p w14:paraId="639511AF" w14:textId="77777777" w:rsidR="00BC74F4" w:rsidRDefault="007477EA">
      <w:pPr>
        <w:keepNext/>
        <w:widowControl w:val="0"/>
        <w:numPr>
          <w:ilvl w:val="0"/>
          <w:numId w:val="6"/>
        </w:num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dal Regolamento UE numero 679/2016 e dal D.lgs. numero 196/203 e successive modifiche ed integrazioni;</w:t>
      </w:r>
    </w:p>
    <w:p w14:paraId="68D46427" w14:textId="77777777" w:rsidR="00BC74F4" w:rsidRDefault="007477EA">
      <w:pPr>
        <w:keepNext/>
        <w:widowControl w:val="0"/>
        <w:numPr>
          <w:ilvl w:val="0"/>
          <w:numId w:val="6"/>
        </w:num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 xml:space="preserve">dalla Legge 14 </w:t>
      </w:r>
      <w:proofErr w:type="gramStart"/>
      <w:r>
        <w:rPr>
          <w:rFonts w:ascii="Titillium Web" w:eastAsia="Titillium Web" w:hAnsi="Titillium Web" w:cs="Titillium Web"/>
          <w:color w:val="000000"/>
          <w:sz w:val="22"/>
          <w:szCs w:val="22"/>
          <w:highlight w:val="white"/>
        </w:rPr>
        <w:t>Giugno</w:t>
      </w:r>
      <w:proofErr w:type="gramEnd"/>
      <w:r>
        <w:rPr>
          <w:rFonts w:ascii="Titillium Web" w:eastAsia="Titillium Web" w:hAnsi="Titillium Web" w:cs="Titillium Web"/>
          <w:color w:val="000000"/>
          <w:sz w:val="22"/>
          <w:szCs w:val="22"/>
          <w:highlight w:val="white"/>
        </w:rPr>
        <w:t xml:space="preserve"> 2019, numero 55 di conversione del D.L. numero 32/2019;</w:t>
      </w:r>
    </w:p>
    <w:p w14:paraId="3713167E" w14:textId="77777777" w:rsidR="00BC74F4" w:rsidRDefault="007477EA">
      <w:pPr>
        <w:keepNext/>
        <w:widowControl w:val="0"/>
        <w:numPr>
          <w:ilvl w:val="0"/>
          <w:numId w:val="6"/>
        </w:num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 xml:space="preserve">dalla Legge 11 </w:t>
      </w:r>
      <w:proofErr w:type="gramStart"/>
      <w:r>
        <w:rPr>
          <w:rFonts w:ascii="Titillium Web" w:eastAsia="Titillium Web" w:hAnsi="Titillium Web" w:cs="Titillium Web"/>
          <w:color w:val="000000"/>
          <w:sz w:val="22"/>
          <w:szCs w:val="22"/>
          <w:highlight w:val="white"/>
        </w:rPr>
        <w:t>Settembre</w:t>
      </w:r>
      <w:proofErr w:type="gramEnd"/>
      <w:r>
        <w:rPr>
          <w:rFonts w:ascii="Titillium Web" w:eastAsia="Titillium Web" w:hAnsi="Titillium Web" w:cs="Titillium Web"/>
          <w:color w:val="000000"/>
          <w:sz w:val="22"/>
          <w:szCs w:val="22"/>
          <w:highlight w:val="white"/>
        </w:rPr>
        <w:t xml:space="preserve"> 2020, numero 120 di conversione del D.L. numero 76/2020;</w:t>
      </w:r>
    </w:p>
    <w:p w14:paraId="7252AFF2" w14:textId="77777777" w:rsidR="00BC74F4" w:rsidRDefault="007477EA">
      <w:pPr>
        <w:keepNext/>
        <w:widowControl w:val="0"/>
        <w:numPr>
          <w:ilvl w:val="0"/>
          <w:numId w:val="6"/>
        </w:num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 xml:space="preserve">dalla Legge 29 </w:t>
      </w:r>
      <w:proofErr w:type="gramStart"/>
      <w:r>
        <w:rPr>
          <w:rFonts w:ascii="Titillium Web" w:eastAsia="Titillium Web" w:hAnsi="Titillium Web" w:cs="Titillium Web"/>
          <w:color w:val="000000"/>
          <w:sz w:val="22"/>
          <w:szCs w:val="22"/>
          <w:highlight w:val="white"/>
        </w:rPr>
        <w:t>Luglio</w:t>
      </w:r>
      <w:proofErr w:type="gramEnd"/>
      <w:r>
        <w:rPr>
          <w:rFonts w:ascii="Titillium Web" w:eastAsia="Titillium Web" w:hAnsi="Titillium Web" w:cs="Titillium Web"/>
          <w:color w:val="000000"/>
          <w:sz w:val="22"/>
          <w:szCs w:val="22"/>
          <w:highlight w:val="white"/>
        </w:rPr>
        <w:t xml:space="preserve"> numero 108/2021 di conversione del D. L. 77/2021;</w:t>
      </w:r>
    </w:p>
    <w:p w14:paraId="6934BE63" w14:textId="77777777" w:rsidR="00BC74F4" w:rsidRDefault="007477EA">
      <w:pPr>
        <w:keepNext/>
        <w:widowControl w:val="0"/>
        <w:numPr>
          <w:ilvl w:val="0"/>
          <w:numId w:val="6"/>
        </w:num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dal Decreto-Legge 9 giugno 2021, numero 80, convertito con modificazioni dalla Legge 6 agosto 2021, numero 113;</w:t>
      </w:r>
    </w:p>
    <w:p w14:paraId="2778D653" w14:textId="77777777" w:rsidR="00BC74F4" w:rsidRDefault="007477EA">
      <w:pPr>
        <w:keepNext/>
        <w:widowControl w:val="0"/>
        <w:numPr>
          <w:ilvl w:val="0"/>
          <w:numId w:val="6"/>
        </w:num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dal Decreto del Ministero delle Infrastrutture del 7 marzo 2018, numero 49;</w:t>
      </w:r>
    </w:p>
    <w:p w14:paraId="61C2F961" w14:textId="77777777" w:rsidR="00BC74F4" w:rsidRDefault="007477EA">
      <w:pPr>
        <w:numPr>
          <w:ilvl w:val="0"/>
          <w:numId w:val="6"/>
        </w:num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 xml:space="preserve">dal </w:t>
      </w:r>
      <w:proofErr w:type="gramStart"/>
      <w:r>
        <w:rPr>
          <w:rFonts w:ascii="Titillium Web" w:eastAsia="Titillium Web" w:hAnsi="Titillium Web" w:cs="Titillium Web"/>
          <w:color w:val="000000"/>
          <w:sz w:val="22"/>
          <w:szCs w:val="22"/>
          <w:highlight w:val="white"/>
        </w:rPr>
        <w:t>Decreto Legge</w:t>
      </w:r>
      <w:proofErr w:type="gramEnd"/>
      <w:r>
        <w:rPr>
          <w:rFonts w:ascii="Titillium Web" w:eastAsia="Titillium Web" w:hAnsi="Titillium Web" w:cs="Titillium Web"/>
          <w:color w:val="000000"/>
          <w:sz w:val="22"/>
          <w:szCs w:val="22"/>
          <w:highlight w:val="white"/>
        </w:rPr>
        <w:t xml:space="preserve"> 27 gennaio 2022, numero 4, convertito con modificazioni dalla Legge 28 marzo 2022 numero 25;</w:t>
      </w:r>
    </w:p>
    <w:p w14:paraId="0FE5E62B" w14:textId="77777777" w:rsidR="00BC74F4" w:rsidRDefault="007477EA">
      <w:pPr>
        <w:numPr>
          <w:ilvl w:val="0"/>
          <w:numId w:val="6"/>
        </w:num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dal Regolamento del Parlamento Europeo e del Consiglio del 12 febbraio 2021 numero UE 2021/241;</w:t>
      </w:r>
    </w:p>
    <w:p w14:paraId="01BBB0A1" w14:textId="77777777" w:rsidR="00BC74F4" w:rsidRDefault="007477EA">
      <w:pPr>
        <w:numPr>
          <w:ilvl w:val="0"/>
          <w:numId w:val="6"/>
        </w:num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 xml:space="preserve">dal "Piano Nazionale di Ripresa e Resilienza", che è stato ufficialmente presentato alla Commissione Europea in data 30 aprile 2021, ai sensi dell’articolo 18 del Regolamento innanzi richiamato, definitivamente approvato dal Consiglio Europeo "Economia e Finanza" con la Delibera del 13 luglio 2021 e notificato all’Italia dal Segretariato Generale del Consiglio Europeo con la nota del 14 luglio 2021, numero di protocollo </w:t>
      </w:r>
      <w:r>
        <w:rPr>
          <w:rFonts w:ascii="Titillium Web" w:eastAsia="Titillium Web" w:hAnsi="Titillium Web" w:cs="Titillium Web"/>
          <w:sz w:val="22"/>
          <w:szCs w:val="22"/>
          <w:highlight w:val="white"/>
        </w:rPr>
        <w:t>LT 161/21;</w:t>
      </w:r>
    </w:p>
    <w:p w14:paraId="1873BC06" w14:textId="77777777" w:rsidR="00BC74F4" w:rsidRDefault="007477EA">
      <w:pPr>
        <w:numPr>
          <w:ilvl w:val="0"/>
          <w:numId w:val="6"/>
        </w:num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dal Regolamento (UE) 2018/1046 del 18 luglio 2018, che stabilisce le regole finanziarie applicabili al bilancio generale dell’Unione, che modifica i Regolamenti (UE) numero 1296/2013, numero 1301/2013, numero 1303/2013, numero 1304/2013, numero 1309/2013, numero 1316/2013, numero 223/2014, numero 283/2014 e la decisione numero 541/2014/UE e abroga il regolamento (UE, Euratom) numero 966/2012;</w:t>
      </w:r>
    </w:p>
    <w:p w14:paraId="2B00FA1D" w14:textId="5473C084" w:rsidR="00BC74F4" w:rsidRDefault="007477EA">
      <w:pPr>
        <w:numPr>
          <w:ilvl w:val="0"/>
          <w:numId w:val="6"/>
        </w:num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 xml:space="preserve">dal </w:t>
      </w:r>
      <w:r w:rsidR="00877927">
        <w:rPr>
          <w:rFonts w:ascii="Titillium Web" w:eastAsia="Titillium Web" w:hAnsi="Titillium Web" w:cs="Titillium Web"/>
          <w:color w:val="000000"/>
          <w:sz w:val="22"/>
          <w:szCs w:val="22"/>
          <w:highlight w:val="white"/>
        </w:rPr>
        <w:t>Decreto-legge</w:t>
      </w:r>
      <w:r>
        <w:rPr>
          <w:rFonts w:ascii="Titillium Web" w:eastAsia="Titillium Web" w:hAnsi="Titillium Web" w:cs="Titillium Web"/>
          <w:color w:val="000000"/>
          <w:sz w:val="22"/>
          <w:szCs w:val="22"/>
          <w:highlight w:val="white"/>
        </w:rPr>
        <w:t xml:space="preserve"> 6 maggio 2021, numero 59 convertito con modificazioni dalla Legge 1° luglio 2021, numero 101, recante “Misure urgenti relative al Fondo complementare al Piano Nazionale di Ripresa e Resilienza e altre misure urgenti per gli investimenti”;</w:t>
      </w:r>
    </w:p>
    <w:p w14:paraId="5F880366" w14:textId="77777777" w:rsidR="00BC74F4" w:rsidRDefault="007477EA">
      <w:pPr>
        <w:keepNext/>
        <w:widowControl w:val="0"/>
        <w:numPr>
          <w:ilvl w:val="0"/>
          <w:numId w:val="6"/>
        </w:num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 xml:space="preserve">dalla Legge 16 gennaio 2003, numero 3, recante “Disposizioni ordinamentali in materia di </w:t>
      </w:r>
      <w:r>
        <w:rPr>
          <w:rFonts w:ascii="Titillium Web" w:eastAsia="Titillium Web" w:hAnsi="Titillium Web" w:cs="Titillium Web"/>
          <w:color w:val="000000"/>
          <w:sz w:val="22"/>
          <w:szCs w:val="22"/>
          <w:highlight w:val="white"/>
        </w:rPr>
        <w:lastRenderedPageBreak/>
        <w:t xml:space="preserve">pubblica amministrazione” e, in particolare, l’articolo 11, comma 2-bis, ai sensi del quale “Gli atti amministrativi anche di natura regolamentare adottati dalle Amministrazioni di cui all’articolo 1, comma 2, del decreto legislativo 30 marzo 2001, numero 165, che dispongono il finanziamento pubblico o autorizzano l’esecuzione di progetti </w:t>
      </w:r>
      <w:r>
        <w:rPr>
          <w:rFonts w:ascii="Titillium Web" w:eastAsia="Titillium Web" w:hAnsi="Titillium Web" w:cs="Titillium Web"/>
          <w:sz w:val="22"/>
          <w:szCs w:val="22"/>
          <w:highlight w:val="white"/>
        </w:rPr>
        <w:t>d'investimento</w:t>
      </w:r>
      <w:r>
        <w:rPr>
          <w:rFonts w:ascii="Titillium Web" w:eastAsia="Titillium Web" w:hAnsi="Titillium Web" w:cs="Titillium Web"/>
          <w:color w:val="000000"/>
          <w:sz w:val="22"/>
          <w:szCs w:val="22"/>
          <w:highlight w:val="white"/>
        </w:rPr>
        <w:t xml:space="preserve"> pubblico, sono nulli in assenza dei corrispondenti codici di cui al comma 1 che costituiscono elemento essenziale dell'atto stesso; </w:t>
      </w:r>
    </w:p>
    <w:p w14:paraId="7FF74A39" w14:textId="77777777" w:rsidR="00BC74F4" w:rsidRDefault="007477EA">
      <w:pPr>
        <w:keepNext/>
        <w:widowControl w:val="0"/>
        <w:numPr>
          <w:ilvl w:val="0"/>
          <w:numId w:val="6"/>
        </w:num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 xml:space="preserve">dalla Delibera del Comitato Interministeriale per l’Economia (CIPE) numero 63 del 26 novembre 2020 che introduce la normativa attuativa della riforma del Codice Identificativo di Progetto (CUP); </w:t>
      </w:r>
    </w:p>
    <w:p w14:paraId="4CE77BAB" w14:textId="77777777" w:rsidR="00BC74F4" w:rsidRDefault="007477EA">
      <w:pPr>
        <w:keepNext/>
        <w:widowControl w:val="0"/>
        <w:numPr>
          <w:ilvl w:val="0"/>
          <w:numId w:val="6"/>
        </w:num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dal Decreto del Ministro dell’economia e delle finanze del 6 agosto 2021 relativo all’assegnazione delle risorse in favore di ciascuna Amministrazione titolare degli interventi nell’ambito del Piano Nazionale di Ripresa e Resilienza</w:t>
      </w:r>
      <w:r>
        <w:rPr>
          <w:rFonts w:ascii="Titillium Web" w:eastAsia="Titillium Web" w:hAnsi="Titillium Web" w:cs="Titillium Web"/>
          <w:b/>
          <w:color w:val="000000"/>
          <w:sz w:val="22"/>
          <w:szCs w:val="22"/>
          <w:highlight w:val="white"/>
        </w:rPr>
        <w:t xml:space="preserve"> </w:t>
      </w:r>
      <w:r>
        <w:rPr>
          <w:rFonts w:ascii="Titillium Web" w:eastAsia="Titillium Web" w:hAnsi="Titillium Web" w:cs="Titillium Web"/>
          <w:color w:val="000000"/>
          <w:sz w:val="22"/>
          <w:szCs w:val="22"/>
          <w:highlight w:val="white"/>
        </w:rPr>
        <w:t xml:space="preserve">e corrispondenti </w:t>
      </w:r>
      <w:r>
        <w:rPr>
          <w:rFonts w:ascii="Titillium Web" w:eastAsia="Titillium Web" w:hAnsi="Titillium Web" w:cs="Titillium Web"/>
          <w:i/>
          <w:color w:val="000000"/>
          <w:sz w:val="22"/>
          <w:szCs w:val="22"/>
          <w:highlight w:val="white"/>
        </w:rPr>
        <w:t>milestone</w:t>
      </w:r>
      <w:r>
        <w:rPr>
          <w:rFonts w:ascii="Titillium Web" w:eastAsia="Titillium Web" w:hAnsi="Titillium Web" w:cs="Titillium Web"/>
          <w:color w:val="000000"/>
          <w:sz w:val="22"/>
          <w:szCs w:val="22"/>
          <w:highlight w:val="white"/>
        </w:rPr>
        <w:t xml:space="preserve"> e </w:t>
      </w:r>
      <w:r>
        <w:rPr>
          <w:rFonts w:ascii="Titillium Web" w:eastAsia="Titillium Web" w:hAnsi="Titillium Web" w:cs="Titillium Web"/>
          <w:i/>
          <w:color w:val="000000"/>
          <w:sz w:val="22"/>
          <w:szCs w:val="22"/>
          <w:highlight w:val="white"/>
        </w:rPr>
        <w:t>target</w:t>
      </w:r>
      <w:r>
        <w:rPr>
          <w:rFonts w:ascii="Titillium Web" w:eastAsia="Titillium Web" w:hAnsi="Titillium Web" w:cs="Titillium Web"/>
          <w:color w:val="000000"/>
          <w:sz w:val="22"/>
          <w:szCs w:val="22"/>
          <w:highlight w:val="white"/>
        </w:rPr>
        <w:t xml:space="preserve">; </w:t>
      </w:r>
    </w:p>
    <w:p w14:paraId="67803ED6" w14:textId="77777777" w:rsidR="00BC74F4" w:rsidRDefault="007477EA">
      <w:pPr>
        <w:keepNext/>
        <w:widowControl w:val="0"/>
        <w:numPr>
          <w:ilvl w:val="0"/>
          <w:numId w:val="6"/>
        </w:num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 xml:space="preserve">dall’articolo 1, comma 1042 della legge 30 dicembre 2020, numero 178, ai sensi del quale con uno o più decreti del Ministero dell’Economia e delle Finanze sono stabilite le procedure amministrativo contabili per la gestione delle risorse di cui ai commi da 1037 a 1050, nonché' le modalità di rendicontazione della gestione del Fondo di cui al comma 1037; </w:t>
      </w:r>
    </w:p>
    <w:p w14:paraId="3DF79147" w14:textId="77777777" w:rsidR="00BC74F4" w:rsidRDefault="007477EA">
      <w:pPr>
        <w:keepNext/>
        <w:widowControl w:val="0"/>
        <w:numPr>
          <w:ilvl w:val="0"/>
          <w:numId w:val="6"/>
        </w:num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dall’articolo 1, comma 1043, secondo periodo della Legge 30 dicembre 2020, numero 178, ai sensi del quale al fine di supportare le attività di gestione, di monitoraggio, di rendicontazione e di controllo delle componenti del Next Generation EU, il Ministero dell’Economia e delle Finanze</w:t>
      </w:r>
      <w:r>
        <w:rPr>
          <w:rFonts w:ascii="Titillium Web" w:eastAsia="Titillium Web" w:hAnsi="Titillium Web" w:cs="Titillium Web"/>
          <w:b/>
          <w:color w:val="000000"/>
          <w:sz w:val="22"/>
          <w:szCs w:val="22"/>
          <w:highlight w:val="white"/>
        </w:rPr>
        <w:t xml:space="preserve">, </w:t>
      </w:r>
      <w:r>
        <w:rPr>
          <w:rFonts w:ascii="Titillium Web" w:eastAsia="Titillium Web" w:hAnsi="Titillium Web" w:cs="Titillium Web"/>
          <w:color w:val="000000"/>
          <w:sz w:val="22"/>
          <w:szCs w:val="22"/>
          <w:highlight w:val="white"/>
        </w:rPr>
        <w:t xml:space="preserve">Dipartimento della Ragioneria Generale dello Stato sviluppa e rende disponibile un apposito sistema informatico; </w:t>
      </w:r>
    </w:p>
    <w:p w14:paraId="5D8D1C18" w14:textId="77777777" w:rsidR="00BC74F4" w:rsidRDefault="007477EA">
      <w:pPr>
        <w:keepNext/>
        <w:widowControl w:val="0"/>
        <w:numPr>
          <w:ilvl w:val="0"/>
          <w:numId w:val="6"/>
        </w:num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dalla Circolare del 10 febbraio 2022, numero 9, emanata dal "</w:t>
      </w:r>
      <w:r>
        <w:rPr>
          <w:rFonts w:ascii="Titillium Web" w:eastAsia="Titillium Web" w:hAnsi="Titillium Web" w:cs="Titillium Web"/>
          <w:i/>
          <w:color w:val="000000"/>
          <w:sz w:val="22"/>
          <w:szCs w:val="22"/>
          <w:highlight w:val="white"/>
        </w:rPr>
        <w:t>Dipartimento della Ragioneria Generale dello Stato</w:t>
      </w:r>
      <w:r>
        <w:rPr>
          <w:rFonts w:ascii="Titillium Web" w:eastAsia="Titillium Web" w:hAnsi="Titillium Web" w:cs="Titillium Web"/>
          <w:color w:val="000000"/>
          <w:sz w:val="22"/>
          <w:szCs w:val="22"/>
          <w:highlight w:val="white"/>
        </w:rPr>
        <w:t>" del "</w:t>
      </w:r>
      <w:r>
        <w:rPr>
          <w:rFonts w:ascii="Titillium Web" w:eastAsia="Titillium Web" w:hAnsi="Titillium Web" w:cs="Titillium Web"/>
          <w:i/>
          <w:color w:val="000000"/>
          <w:sz w:val="22"/>
          <w:szCs w:val="22"/>
          <w:highlight w:val="white"/>
        </w:rPr>
        <w:t xml:space="preserve">Ministero </w:t>
      </w:r>
      <w:r>
        <w:rPr>
          <w:rFonts w:ascii="Titillium Web" w:eastAsia="Titillium Web" w:hAnsi="Titillium Web" w:cs="Titillium Web"/>
          <w:i/>
          <w:sz w:val="22"/>
          <w:szCs w:val="22"/>
          <w:highlight w:val="white"/>
        </w:rPr>
        <w:t>dell'Economia</w:t>
      </w:r>
      <w:r>
        <w:rPr>
          <w:rFonts w:ascii="Titillium Web" w:eastAsia="Titillium Web" w:hAnsi="Titillium Web" w:cs="Titillium Web"/>
          <w:i/>
          <w:color w:val="000000"/>
          <w:sz w:val="22"/>
          <w:szCs w:val="22"/>
          <w:highlight w:val="white"/>
        </w:rPr>
        <w:t xml:space="preserve"> e delle Finanze</w:t>
      </w:r>
      <w:r>
        <w:rPr>
          <w:rFonts w:ascii="Titillium Web" w:eastAsia="Titillium Web" w:hAnsi="Titillium Web" w:cs="Titillium Web"/>
          <w:color w:val="000000"/>
          <w:sz w:val="22"/>
          <w:szCs w:val="22"/>
          <w:highlight w:val="white"/>
        </w:rPr>
        <w:t>", con la quale sono state definite e trasmesse le "</w:t>
      </w:r>
      <w:r>
        <w:rPr>
          <w:rFonts w:ascii="Titillium Web" w:eastAsia="Titillium Web" w:hAnsi="Titillium Web" w:cs="Titillium Web"/>
          <w:i/>
          <w:color w:val="000000"/>
          <w:sz w:val="22"/>
          <w:szCs w:val="22"/>
          <w:highlight w:val="white"/>
        </w:rPr>
        <w:t>Istruzioni tecniche per la redazione dei sistemi di gestione e di controllo delle Amministrazioni Centrali titolari di interventi previsti dal Piano Nazionale di Ripresa e Resilienza</w:t>
      </w:r>
      <w:r>
        <w:rPr>
          <w:rFonts w:ascii="Titillium Web" w:eastAsia="Titillium Web" w:hAnsi="Titillium Web" w:cs="Titillium Web"/>
          <w:color w:val="000000"/>
          <w:sz w:val="22"/>
          <w:szCs w:val="22"/>
          <w:highlight w:val="white"/>
        </w:rPr>
        <w:t>";</w:t>
      </w:r>
    </w:p>
    <w:p w14:paraId="097BB39E" w14:textId="77777777" w:rsidR="00BC74F4" w:rsidRDefault="007477EA">
      <w:pPr>
        <w:keepNext/>
        <w:widowControl w:val="0"/>
        <w:numPr>
          <w:ilvl w:val="0"/>
          <w:numId w:val="6"/>
        </w:num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dalla Circolare del 21 giugno 2022, numero 27, emanata dal "</w:t>
      </w:r>
      <w:r>
        <w:rPr>
          <w:rFonts w:ascii="Titillium Web" w:eastAsia="Titillium Web" w:hAnsi="Titillium Web" w:cs="Titillium Web"/>
          <w:i/>
          <w:color w:val="000000"/>
          <w:sz w:val="22"/>
          <w:szCs w:val="22"/>
          <w:highlight w:val="white"/>
        </w:rPr>
        <w:t>Dipartimento della Ragioneria Generale dello Stato</w:t>
      </w:r>
      <w:r>
        <w:rPr>
          <w:rFonts w:ascii="Titillium Web" w:eastAsia="Titillium Web" w:hAnsi="Titillium Web" w:cs="Titillium Web"/>
          <w:color w:val="000000"/>
          <w:sz w:val="22"/>
          <w:szCs w:val="22"/>
          <w:highlight w:val="white"/>
        </w:rPr>
        <w:t>" del "</w:t>
      </w:r>
      <w:r>
        <w:rPr>
          <w:rFonts w:ascii="Titillium Web" w:eastAsia="Titillium Web" w:hAnsi="Titillium Web" w:cs="Titillium Web"/>
          <w:i/>
          <w:color w:val="000000"/>
          <w:sz w:val="22"/>
          <w:szCs w:val="22"/>
          <w:highlight w:val="white"/>
        </w:rPr>
        <w:t xml:space="preserve">Ministero </w:t>
      </w:r>
      <w:r>
        <w:rPr>
          <w:rFonts w:ascii="Titillium Web" w:eastAsia="Titillium Web" w:hAnsi="Titillium Web" w:cs="Titillium Web"/>
          <w:i/>
          <w:sz w:val="22"/>
          <w:szCs w:val="22"/>
          <w:highlight w:val="white"/>
        </w:rPr>
        <w:t>dell'Economia</w:t>
      </w:r>
      <w:r>
        <w:rPr>
          <w:rFonts w:ascii="Titillium Web" w:eastAsia="Titillium Web" w:hAnsi="Titillium Web" w:cs="Titillium Web"/>
          <w:i/>
          <w:color w:val="000000"/>
          <w:sz w:val="22"/>
          <w:szCs w:val="22"/>
          <w:highlight w:val="white"/>
        </w:rPr>
        <w:t xml:space="preserve"> e delle Finanze</w:t>
      </w:r>
      <w:r>
        <w:rPr>
          <w:rFonts w:ascii="Titillium Web" w:eastAsia="Titillium Web" w:hAnsi="Titillium Web" w:cs="Titillium Web"/>
          <w:color w:val="000000"/>
          <w:sz w:val="22"/>
          <w:szCs w:val="22"/>
          <w:highlight w:val="white"/>
        </w:rPr>
        <w:t>", che disciplina il "</w:t>
      </w:r>
      <w:r>
        <w:rPr>
          <w:rFonts w:ascii="Titillium Web" w:eastAsia="Titillium Web" w:hAnsi="Titillium Web" w:cs="Titillium Web"/>
          <w:i/>
          <w:color w:val="000000"/>
          <w:sz w:val="22"/>
          <w:szCs w:val="22"/>
          <w:highlight w:val="white"/>
        </w:rPr>
        <w:t>Monitoraggio delle Misure previste dal Piano Nazionale di Ripresa e Resilienza</w:t>
      </w:r>
      <w:r>
        <w:rPr>
          <w:rFonts w:ascii="Titillium Web" w:eastAsia="Titillium Web" w:hAnsi="Titillium Web" w:cs="Titillium Web"/>
          <w:color w:val="000000"/>
          <w:sz w:val="22"/>
          <w:szCs w:val="22"/>
          <w:highlight w:val="white"/>
        </w:rPr>
        <w:t>";</w:t>
      </w:r>
    </w:p>
    <w:p w14:paraId="69A66147" w14:textId="77777777" w:rsidR="00BC74F4" w:rsidRDefault="007477EA">
      <w:pPr>
        <w:keepNext/>
        <w:widowControl w:val="0"/>
        <w:numPr>
          <w:ilvl w:val="0"/>
          <w:numId w:val="6"/>
        </w:num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dalla Circolare dell’11 agosto 2022, numero 30, emanata dal "</w:t>
      </w:r>
      <w:r>
        <w:rPr>
          <w:rFonts w:ascii="Titillium Web" w:eastAsia="Titillium Web" w:hAnsi="Titillium Web" w:cs="Titillium Web"/>
          <w:i/>
          <w:color w:val="000000"/>
          <w:sz w:val="22"/>
          <w:szCs w:val="22"/>
          <w:highlight w:val="white"/>
        </w:rPr>
        <w:t>Dipartimento della Ragioneria Generale dello Stato</w:t>
      </w:r>
      <w:r>
        <w:rPr>
          <w:rFonts w:ascii="Titillium Web" w:eastAsia="Titillium Web" w:hAnsi="Titillium Web" w:cs="Titillium Web"/>
          <w:color w:val="000000"/>
          <w:sz w:val="22"/>
          <w:szCs w:val="22"/>
          <w:highlight w:val="white"/>
        </w:rPr>
        <w:t>" del "</w:t>
      </w:r>
      <w:r>
        <w:rPr>
          <w:rFonts w:ascii="Titillium Web" w:eastAsia="Titillium Web" w:hAnsi="Titillium Web" w:cs="Titillium Web"/>
          <w:i/>
          <w:color w:val="000000"/>
          <w:sz w:val="22"/>
          <w:szCs w:val="22"/>
          <w:highlight w:val="white"/>
        </w:rPr>
        <w:t xml:space="preserve">Ministero </w:t>
      </w:r>
      <w:r>
        <w:rPr>
          <w:rFonts w:ascii="Titillium Web" w:eastAsia="Titillium Web" w:hAnsi="Titillium Web" w:cs="Titillium Web"/>
          <w:i/>
          <w:sz w:val="22"/>
          <w:szCs w:val="22"/>
          <w:highlight w:val="white"/>
        </w:rPr>
        <w:t>dell'Economia</w:t>
      </w:r>
      <w:r>
        <w:rPr>
          <w:rFonts w:ascii="Titillium Web" w:eastAsia="Titillium Web" w:hAnsi="Titillium Web" w:cs="Titillium Web"/>
          <w:i/>
          <w:color w:val="000000"/>
          <w:sz w:val="22"/>
          <w:szCs w:val="22"/>
          <w:highlight w:val="white"/>
        </w:rPr>
        <w:t xml:space="preserve"> e delle Finanze</w:t>
      </w:r>
      <w:r>
        <w:rPr>
          <w:rFonts w:ascii="Titillium Web" w:eastAsia="Titillium Web" w:hAnsi="Titillium Web" w:cs="Titillium Web"/>
          <w:color w:val="000000"/>
          <w:sz w:val="22"/>
          <w:szCs w:val="22"/>
          <w:highlight w:val="white"/>
        </w:rPr>
        <w:t>", che definisce le "</w:t>
      </w:r>
      <w:r>
        <w:rPr>
          <w:rFonts w:ascii="Titillium Web" w:eastAsia="Titillium Web" w:hAnsi="Titillium Web" w:cs="Titillium Web"/>
          <w:i/>
          <w:color w:val="000000"/>
          <w:sz w:val="22"/>
          <w:szCs w:val="22"/>
          <w:highlight w:val="white"/>
        </w:rPr>
        <w:t xml:space="preserve">Linee Guida per lo svolgimento delle attività di controllo e rendicontazione delle Misure previste dal Piano Nazionale di Ripresa e </w:t>
      </w:r>
      <w:r>
        <w:rPr>
          <w:rFonts w:ascii="Titillium Web" w:eastAsia="Titillium Web" w:hAnsi="Titillium Web" w:cs="Titillium Web"/>
          <w:i/>
          <w:color w:val="000000"/>
          <w:sz w:val="22"/>
          <w:szCs w:val="22"/>
          <w:highlight w:val="white"/>
        </w:rPr>
        <w:lastRenderedPageBreak/>
        <w:t>Resilienza di competenza delle Amministrazioni Centrali e dei Soggetti Attuatori</w:t>
      </w:r>
      <w:r>
        <w:rPr>
          <w:rFonts w:ascii="Titillium Web" w:eastAsia="Titillium Web" w:hAnsi="Titillium Web" w:cs="Titillium Web"/>
          <w:color w:val="000000"/>
          <w:sz w:val="22"/>
          <w:szCs w:val="22"/>
          <w:highlight w:val="white"/>
        </w:rPr>
        <w:t>";</w:t>
      </w:r>
    </w:p>
    <w:p w14:paraId="2EEED96E" w14:textId="77777777" w:rsidR="00BC74F4" w:rsidRDefault="007477EA">
      <w:pPr>
        <w:keepNext/>
        <w:widowControl w:val="0"/>
        <w:numPr>
          <w:ilvl w:val="0"/>
          <w:numId w:val="6"/>
        </w:num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dalla Circolare del 13 ottobre 2022, numero 33, emanata dal "</w:t>
      </w:r>
      <w:r>
        <w:rPr>
          <w:rFonts w:ascii="Titillium Web" w:eastAsia="Titillium Web" w:hAnsi="Titillium Web" w:cs="Titillium Web"/>
          <w:i/>
          <w:color w:val="000000"/>
          <w:sz w:val="22"/>
          <w:szCs w:val="22"/>
          <w:highlight w:val="white"/>
        </w:rPr>
        <w:t>Dipartimento della Ragioneria Generale dello Stato</w:t>
      </w:r>
      <w:r>
        <w:rPr>
          <w:rFonts w:ascii="Titillium Web" w:eastAsia="Titillium Web" w:hAnsi="Titillium Web" w:cs="Titillium Web"/>
          <w:color w:val="000000"/>
          <w:sz w:val="22"/>
          <w:szCs w:val="22"/>
          <w:highlight w:val="white"/>
        </w:rPr>
        <w:t>" del "</w:t>
      </w:r>
      <w:r>
        <w:rPr>
          <w:rFonts w:ascii="Titillium Web" w:eastAsia="Titillium Web" w:hAnsi="Titillium Web" w:cs="Titillium Web"/>
          <w:i/>
          <w:color w:val="000000"/>
          <w:sz w:val="22"/>
          <w:szCs w:val="22"/>
          <w:highlight w:val="white"/>
        </w:rPr>
        <w:t xml:space="preserve">Ministero </w:t>
      </w:r>
      <w:r>
        <w:rPr>
          <w:rFonts w:ascii="Titillium Web" w:eastAsia="Titillium Web" w:hAnsi="Titillium Web" w:cs="Titillium Web"/>
          <w:i/>
          <w:sz w:val="22"/>
          <w:szCs w:val="22"/>
          <w:highlight w:val="white"/>
        </w:rPr>
        <w:t>dell'Economia</w:t>
      </w:r>
      <w:r>
        <w:rPr>
          <w:rFonts w:ascii="Titillium Web" w:eastAsia="Titillium Web" w:hAnsi="Titillium Web" w:cs="Titillium Web"/>
          <w:i/>
          <w:color w:val="000000"/>
          <w:sz w:val="22"/>
          <w:szCs w:val="22"/>
          <w:highlight w:val="white"/>
        </w:rPr>
        <w:t xml:space="preserve"> e delle Finanze</w:t>
      </w:r>
      <w:r>
        <w:rPr>
          <w:rFonts w:ascii="Titillium Web" w:eastAsia="Titillium Web" w:hAnsi="Titillium Web" w:cs="Titillium Web"/>
          <w:color w:val="000000"/>
          <w:sz w:val="22"/>
          <w:szCs w:val="22"/>
          <w:highlight w:val="white"/>
        </w:rPr>
        <w:t>", con la quale è stata aggiornata la "</w:t>
      </w:r>
      <w:r>
        <w:rPr>
          <w:rFonts w:ascii="Titillium Web" w:eastAsia="Titillium Web" w:hAnsi="Titillium Web" w:cs="Titillium Web"/>
          <w:i/>
          <w:color w:val="000000"/>
          <w:sz w:val="22"/>
          <w:szCs w:val="22"/>
          <w:highlight w:val="white"/>
        </w:rPr>
        <w:t xml:space="preserve">Guida operativa per il rispetto del </w:t>
      </w:r>
      <w:r>
        <w:rPr>
          <w:rFonts w:ascii="Titillium Web" w:eastAsia="Titillium Web" w:hAnsi="Titillium Web" w:cs="Titillium Web"/>
          <w:i/>
          <w:color w:val="000000"/>
          <w:sz w:val="22"/>
          <w:szCs w:val="22"/>
          <w:highlight w:val="white"/>
        </w:rPr>
        <w:t>principio di non arrecare danno significativo all'ambiente (cosiddetto DNSH)</w:t>
      </w:r>
      <w:r>
        <w:rPr>
          <w:rFonts w:ascii="Titillium Web" w:eastAsia="Titillium Web" w:hAnsi="Titillium Web" w:cs="Titillium Web"/>
          <w:color w:val="000000"/>
          <w:sz w:val="22"/>
          <w:szCs w:val="22"/>
          <w:highlight w:val="white"/>
        </w:rPr>
        <w:t>";</w:t>
      </w:r>
    </w:p>
    <w:p w14:paraId="1C18155F" w14:textId="77777777" w:rsidR="00BC74F4" w:rsidRDefault="007477EA">
      <w:pPr>
        <w:keepNext/>
        <w:widowControl w:val="0"/>
        <w:numPr>
          <w:ilvl w:val="0"/>
          <w:numId w:val="6"/>
        </w:num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dall’articolo 17 Regolamento UE 2020/852 che definisce gli obiettivi ambientali, tra cui il principio di non arrecare un danno significativo (</w:t>
      </w:r>
      <w:r>
        <w:rPr>
          <w:rFonts w:ascii="Titillium Web" w:eastAsia="Titillium Web" w:hAnsi="Titillium Web" w:cs="Titillium Web"/>
          <w:b/>
          <w:i/>
          <w:color w:val="000000"/>
          <w:sz w:val="22"/>
          <w:szCs w:val="22"/>
          <w:highlight w:val="white"/>
        </w:rPr>
        <w:t>DNSH</w:t>
      </w:r>
      <w:r>
        <w:rPr>
          <w:rFonts w:ascii="Titillium Web" w:eastAsia="Titillium Web" w:hAnsi="Titillium Web" w:cs="Titillium Web"/>
          <w:color w:val="000000"/>
          <w:sz w:val="22"/>
          <w:szCs w:val="22"/>
          <w:highlight w:val="white"/>
        </w:rPr>
        <w:t>, “</w:t>
      </w:r>
      <w:r>
        <w:rPr>
          <w:rFonts w:ascii="Titillium Web" w:eastAsia="Titillium Web" w:hAnsi="Titillium Web" w:cs="Titillium Web"/>
          <w:b/>
          <w:i/>
          <w:color w:val="000000"/>
          <w:sz w:val="22"/>
          <w:szCs w:val="22"/>
          <w:highlight w:val="white"/>
        </w:rPr>
        <w:t>Do no significant harm</w:t>
      </w:r>
      <w:r>
        <w:rPr>
          <w:rFonts w:ascii="Titillium Web" w:eastAsia="Titillium Web" w:hAnsi="Titillium Web" w:cs="Titillium Web"/>
          <w:color w:val="000000"/>
          <w:sz w:val="22"/>
          <w:szCs w:val="22"/>
          <w:highlight w:val="white"/>
        </w:rPr>
        <w:t>”), e la Comunicazione della Commissione UE 2021/C 58/01 recante “</w:t>
      </w:r>
      <w:r>
        <w:rPr>
          <w:rFonts w:ascii="Titillium Web" w:eastAsia="Titillium Web" w:hAnsi="Titillium Web" w:cs="Titillium Web"/>
          <w:i/>
          <w:color w:val="000000"/>
          <w:sz w:val="22"/>
          <w:szCs w:val="22"/>
          <w:highlight w:val="white"/>
        </w:rPr>
        <w:t>Orientamenti tecnici sull’applicazione del principio «non arrecare un danno significativo» a norma del regolamento sul dispositivo per la ripresa e la resilienza</w:t>
      </w:r>
      <w:r>
        <w:rPr>
          <w:rFonts w:ascii="Titillium Web" w:eastAsia="Titillium Web" w:hAnsi="Titillium Web" w:cs="Titillium Web"/>
          <w:color w:val="000000"/>
          <w:sz w:val="22"/>
          <w:szCs w:val="22"/>
          <w:highlight w:val="white"/>
        </w:rPr>
        <w:t>”;</w:t>
      </w:r>
    </w:p>
    <w:p w14:paraId="62F8B121" w14:textId="77777777" w:rsidR="00BC74F4" w:rsidRDefault="007477EA">
      <w:pPr>
        <w:keepNext/>
        <w:widowControl w:val="0"/>
        <w:numPr>
          <w:ilvl w:val="0"/>
          <w:numId w:val="6"/>
        </w:num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bookmarkStart w:id="4" w:name="_heading=h.30j0zll" w:colFirst="0" w:colLast="0"/>
      <w:bookmarkEnd w:id="4"/>
      <w:r>
        <w:rPr>
          <w:rFonts w:ascii="Titillium Web" w:eastAsia="Titillium Web" w:hAnsi="Titillium Web" w:cs="Titillium Web"/>
          <w:color w:val="000000"/>
          <w:sz w:val="22"/>
          <w:szCs w:val="22"/>
          <w:highlight w:val="white"/>
        </w:rPr>
        <w:t xml:space="preserve">dai principi </w:t>
      </w:r>
      <w:r>
        <w:rPr>
          <w:rFonts w:ascii="Titillium Web" w:eastAsia="Titillium Web" w:hAnsi="Titillium Web" w:cs="Titillium Web"/>
          <w:color w:val="000000"/>
          <w:sz w:val="22"/>
          <w:szCs w:val="22"/>
          <w:highlight w:val="white"/>
        </w:rPr>
        <w:t>trasversali previsti dal Piano Nazionale di Ripresa e Resilienza, quali, tra l’altro, il principio del contributo all’obiettivo climatico e digitale (c.d. tagging), il principio di parità di genere e l’obbligo di protezione e valorizzazione dei giovani;</w:t>
      </w:r>
    </w:p>
    <w:p w14:paraId="79B03419" w14:textId="77777777" w:rsidR="00BC74F4" w:rsidRDefault="007477EA">
      <w:pPr>
        <w:keepNext/>
        <w:widowControl w:val="0"/>
        <w:numPr>
          <w:ilvl w:val="0"/>
          <w:numId w:val="6"/>
        </w:num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Obblighi di assicurare il conseguimento di target e milestone e degli obiettivi finanziari stabiliti nel Piano Nazionale di Ripresa e Resilienza</w:t>
      </w:r>
    </w:p>
    <w:p w14:paraId="77CB9F9C" w14:textId="77777777" w:rsidR="00BC74F4" w:rsidRDefault="007477EA">
      <w:pPr>
        <w:keepNext/>
        <w:widowControl w:val="0"/>
        <w:numPr>
          <w:ilvl w:val="0"/>
          <w:numId w:val="6"/>
        </w:num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dalle restanti disposizioni normative e regolamentari, applicabili in materia di appalti pubblici e da tutte le disposizioni normative e regolamentari e le circolari adottate in materia di attuazione del Piano Nazionale di Ripresa e Resilienza.</w:t>
      </w:r>
    </w:p>
    <w:p w14:paraId="59B71FAD" w14:textId="77777777" w:rsidR="00BC74F4" w:rsidRDefault="00BC74F4">
      <w:pPr>
        <w:keepNext/>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sz w:val="22"/>
          <w:szCs w:val="22"/>
          <w:highlight w:val="white"/>
        </w:rPr>
      </w:pPr>
    </w:p>
    <w:p w14:paraId="6147215D" w14:textId="77777777" w:rsidR="00BC74F4" w:rsidRDefault="007477EA">
      <w:pPr>
        <w:keepNext/>
        <w:widowControl w:val="0"/>
        <w:pBdr>
          <w:top w:val="nil"/>
          <w:left w:val="nil"/>
          <w:bottom w:val="nil"/>
          <w:right w:val="nil"/>
          <w:between w:val="nil"/>
        </w:pBdr>
        <w:tabs>
          <w:tab w:val="left" w:pos="0"/>
          <w:tab w:val="left" w:pos="284"/>
          <w:tab w:val="left" w:pos="1134"/>
        </w:tabs>
        <w:spacing w:line="276" w:lineRule="auto"/>
        <w:ind w:left="0" w:right="-1220" w:hanging="2"/>
        <w:jc w:val="center"/>
        <w:rPr>
          <w:rFonts w:ascii="Titillium Web" w:eastAsia="Titillium Web" w:hAnsi="Titillium Web" w:cs="Titillium Web"/>
          <w:b/>
          <w:color w:val="000000"/>
          <w:sz w:val="22"/>
          <w:szCs w:val="22"/>
          <w:highlight w:val="white"/>
        </w:rPr>
      </w:pPr>
      <w:r>
        <w:rPr>
          <w:rFonts w:ascii="Titillium Web" w:eastAsia="Titillium Web" w:hAnsi="Titillium Web" w:cs="Titillium Web"/>
          <w:b/>
          <w:color w:val="000000"/>
          <w:sz w:val="22"/>
          <w:szCs w:val="22"/>
          <w:highlight w:val="white"/>
        </w:rPr>
        <w:t xml:space="preserve">Art.  </w:t>
      </w:r>
      <w:r>
        <w:rPr>
          <w:rFonts w:ascii="Titillium Web" w:eastAsia="Titillium Web" w:hAnsi="Titillium Web" w:cs="Titillium Web"/>
          <w:b/>
          <w:color w:val="000000"/>
          <w:sz w:val="22"/>
          <w:szCs w:val="22"/>
          <w:highlight w:val="white"/>
          <w:u w:val="single"/>
        </w:rPr>
        <w:t>Oggetto del Contratto</w:t>
      </w:r>
    </w:p>
    <w:p w14:paraId="00D7CDBF" w14:textId="77777777" w:rsidR="00BC74F4" w:rsidRDefault="007477EA">
      <w:pPr>
        <w:keepNext/>
        <w:widowControl w:val="0"/>
        <w:pBdr>
          <w:top w:val="nil"/>
          <w:left w:val="nil"/>
          <w:bottom w:val="nil"/>
          <w:right w:val="nil"/>
          <w:between w:val="nil"/>
        </w:pBdr>
        <w:tabs>
          <w:tab w:val="left" w:pos="0"/>
          <w:tab w:val="left" w:pos="284"/>
          <w:tab w:val="left" w:pos="1134"/>
        </w:tabs>
        <w:spacing w:line="276" w:lineRule="auto"/>
        <w:ind w:left="0" w:right="-1220" w:hanging="2"/>
        <w:jc w:val="both"/>
        <w:rPr>
          <w:rFonts w:ascii="Titillium Web" w:eastAsia="Titillium Web" w:hAnsi="Titillium Web" w:cs="Titillium Web"/>
          <w:sz w:val="22"/>
          <w:szCs w:val="22"/>
          <w:highlight w:val="white"/>
        </w:rPr>
      </w:pPr>
      <w:r>
        <w:rPr>
          <w:rFonts w:ascii="Titillium Web" w:eastAsia="Titillium Web" w:hAnsi="Titillium Web" w:cs="Titillium Web"/>
          <w:color w:val="000000"/>
          <w:sz w:val="22"/>
          <w:szCs w:val="22"/>
          <w:highlight w:val="white"/>
        </w:rPr>
        <w:t xml:space="preserve">Oggetto del presente Contratto è </w:t>
      </w:r>
      <w:r>
        <w:rPr>
          <w:rFonts w:ascii="Titillium Web" w:eastAsia="Titillium Web" w:hAnsi="Titillium Web" w:cs="Titillium Web"/>
          <w:sz w:val="22"/>
          <w:szCs w:val="22"/>
          <w:highlight w:val="white"/>
        </w:rPr>
        <w:t>la/il</w:t>
      </w:r>
      <w:r>
        <w:rPr>
          <w:rFonts w:ascii="Titillium Web" w:eastAsia="Titillium Web" w:hAnsi="Titillium Web" w:cs="Titillium Web"/>
          <w:b/>
          <w:sz w:val="22"/>
          <w:szCs w:val="22"/>
          <w:highlight w:val="white"/>
        </w:rPr>
        <w:t xml:space="preserve"> </w:t>
      </w:r>
      <w:r>
        <w:rPr>
          <w:rFonts w:ascii="Titillium Web" w:eastAsia="Titillium Web" w:hAnsi="Titillium Web" w:cs="Titillium Web"/>
          <w:color w:val="000000"/>
          <w:sz w:val="22"/>
          <w:szCs w:val="22"/>
          <w:highlight w:val="white"/>
        </w:rPr>
        <w:t>fornitura/servizio</w:t>
      </w:r>
      <w:r>
        <w:rPr>
          <w:rFonts w:ascii="Titillium Web" w:eastAsia="Titillium Web" w:hAnsi="Titillium Web" w:cs="Titillium Web"/>
          <w:sz w:val="22"/>
          <w:szCs w:val="22"/>
          <w:highlight w:val="white"/>
        </w:rPr>
        <w:t xml:space="preserve"> </w:t>
      </w:r>
      <w:r>
        <w:rPr>
          <w:rFonts w:ascii="Titillium Web" w:eastAsia="Titillium Web" w:hAnsi="Titillium Web" w:cs="Titillium Web"/>
          <w:color w:val="000000"/>
          <w:sz w:val="22"/>
          <w:szCs w:val="22"/>
          <w:highlight w:val="white"/>
        </w:rPr>
        <w:t>di ________________ affidat</w:t>
      </w:r>
      <w:r>
        <w:rPr>
          <w:rFonts w:ascii="Titillium Web" w:eastAsia="Titillium Web" w:hAnsi="Titillium Web" w:cs="Titillium Web"/>
          <w:sz w:val="22"/>
          <w:szCs w:val="22"/>
          <w:highlight w:val="white"/>
        </w:rPr>
        <w:t>a</w:t>
      </w:r>
      <w:r>
        <w:rPr>
          <w:rFonts w:ascii="Titillium Web" w:eastAsia="Titillium Web" w:hAnsi="Titillium Web" w:cs="Titillium Web"/>
          <w:color w:val="000000"/>
          <w:sz w:val="22"/>
          <w:szCs w:val="22"/>
          <w:highlight w:val="white"/>
        </w:rPr>
        <w:t xml:space="preserve"> all</w:t>
      </w:r>
      <w:r>
        <w:rPr>
          <w:rFonts w:ascii="Titillium Web" w:eastAsia="Titillium Web" w:hAnsi="Titillium Web" w:cs="Titillium Web"/>
          <w:sz w:val="22"/>
          <w:szCs w:val="22"/>
          <w:highlight w:val="white"/>
        </w:rPr>
        <w:t xml:space="preserve">’operatore economico _________________ </w:t>
      </w:r>
      <w:r>
        <w:rPr>
          <w:rFonts w:ascii="Titillium Web" w:eastAsia="Titillium Web" w:hAnsi="Titillium Web" w:cs="Titillium Web"/>
          <w:color w:val="000000"/>
          <w:sz w:val="22"/>
          <w:szCs w:val="22"/>
          <w:highlight w:val="white"/>
        </w:rPr>
        <w:t>in favore dell’Osservatorio/Istituto ______________________</w:t>
      </w:r>
      <w:r>
        <w:rPr>
          <w:rFonts w:ascii="Titillium Web" w:eastAsia="Titillium Web" w:hAnsi="Titillium Web" w:cs="Titillium Web"/>
          <w:sz w:val="22"/>
          <w:szCs w:val="22"/>
          <w:highlight w:val="white"/>
        </w:rPr>
        <w:t>,</w:t>
      </w:r>
      <w:r>
        <w:rPr>
          <w:rFonts w:ascii="Titillium Web" w:eastAsia="Titillium Web" w:hAnsi="Titillium Web" w:cs="Titillium Web"/>
          <w:color w:val="000000"/>
          <w:sz w:val="22"/>
          <w:szCs w:val="22"/>
          <w:highlight w:val="white"/>
        </w:rPr>
        <w:t xml:space="preserve"> </w:t>
      </w:r>
      <w:r>
        <w:rPr>
          <w:rFonts w:ascii="Titillium Web" w:eastAsia="Titillium Web" w:hAnsi="Titillium Web" w:cs="Titillium Web"/>
          <w:sz w:val="22"/>
          <w:szCs w:val="22"/>
          <w:highlight w:val="white"/>
        </w:rPr>
        <w:t>come meglio specificato nel Capitolato tecnico, da erogare con le modalità dettagliatamente stabilite nel Capitolato Tecnico stesso e negli altri documenti tecnici.</w:t>
      </w:r>
    </w:p>
    <w:p w14:paraId="71FCCD82" w14:textId="77777777" w:rsidR="00BC74F4" w:rsidRDefault="007477EA">
      <w:pPr>
        <w:keepNext/>
        <w:widowControl w:val="0"/>
        <w:pBdr>
          <w:top w:val="nil"/>
          <w:left w:val="nil"/>
          <w:bottom w:val="nil"/>
          <w:right w:val="nil"/>
          <w:between w:val="nil"/>
        </w:pBdr>
        <w:tabs>
          <w:tab w:val="left" w:pos="0"/>
          <w:tab w:val="left" w:pos="284"/>
          <w:tab w:val="left" w:pos="1134"/>
        </w:tabs>
        <w:spacing w:line="276" w:lineRule="auto"/>
        <w:ind w:left="0" w:right="-1220" w:hanging="2"/>
        <w:jc w:val="both"/>
        <w:rPr>
          <w:rFonts w:ascii="Titillium Web" w:eastAsia="Titillium Web" w:hAnsi="Titillium Web" w:cs="Titillium Web"/>
          <w:sz w:val="22"/>
          <w:szCs w:val="22"/>
          <w:highlight w:val="white"/>
        </w:rPr>
      </w:pPr>
      <w:r>
        <w:rPr>
          <w:rFonts w:ascii="Titillium Web" w:eastAsia="Titillium Web" w:hAnsi="Titillium Web" w:cs="Titillium Web"/>
          <w:sz w:val="22"/>
          <w:szCs w:val="22"/>
          <w:highlight w:val="white"/>
        </w:rPr>
        <w:t xml:space="preserve">Il Contraente si impegna a </w:t>
      </w:r>
      <w:proofErr w:type="gramStart"/>
      <w:r>
        <w:rPr>
          <w:rFonts w:ascii="Titillium Web" w:eastAsia="Titillium Web" w:hAnsi="Titillium Web" w:cs="Titillium Web"/>
          <w:sz w:val="22"/>
          <w:szCs w:val="22"/>
          <w:highlight w:val="white"/>
        </w:rPr>
        <w:t>porre in essere</w:t>
      </w:r>
      <w:proofErr w:type="gramEnd"/>
      <w:r>
        <w:rPr>
          <w:rFonts w:ascii="Titillium Web" w:eastAsia="Titillium Web" w:hAnsi="Titillium Web" w:cs="Titillium Web"/>
          <w:sz w:val="22"/>
          <w:szCs w:val="22"/>
          <w:highlight w:val="white"/>
        </w:rPr>
        <w:t xml:space="preserve"> tutte le attività connesse, strumentali e ausiliari dipendenti dal/la servizio/fornitura come meglio descritto e dettagliato nel Capitolato Tecnico e negli altri documenti tecnici.</w:t>
      </w:r>
    </w:p>
    <w:p w14:paraId="0A64EC1E" w14:textId="77777777" w:rsidR="00BC74F4" w:rsidRDefault="00BC74F4">
      <w:pPr>
        <w:keepNext/>
        <w:widowControl w:val="0"/>
        <w:pBdr>
          <w:top w:val="nil"/>
          <w:left w:val="nil"/>
          <w:bottom w:val="nil"/>
          <w:right w:val="nil"/>
          <w:between w:val="nil"/>
        </w:pBdr>
        <w:tabs>
          <w:tab w:val="left" w:pos="0"/>
          <w:tab w:val="left" w:pos="284"/>
          <w:tab w:val="left" w:pos="1134"/>
        </w:tabs>
        <w:spacing w:line="276" w:lineRule="auto"/>
        <w:ind w:left="0" w:right="-1220" w:hanging="2"/>
        <w:jc w:val="both"/>
        <w:rPr>
          <w:rFonts w:ascii="Titillium Web" w:eastAsia="Titillium Web" w:hAnsi="Titillium Web" w:cs="Titillium Web"/>
          <w:sz w:val="22"/>
          <w:szCs w:val="22"/>
          <w:highlight w:val="white"/>
        </w:rPr>
      </w:pPr>
    </w:p>
    <w:p w14:paraId="5CC2EB87" w14:textId="77777777" w:rsidR="00BC74F4" w:rsidRDefault="007477EA">
      <w:pPr>
        <w:keepNext/>
        <w:widowControl w:val="0"/>
        <w:pBdr>
          <w:top w:val="nil"/>
          <w:left w:val="nil"/>
          <w:bottom w:val="nil"/>
          <w:right w:val="nil"/>
          <w:between w:val="nil"/>
        </w:pBdr>
        <w:tabs>
          <w:tab w:val="left" w:pos="142"/>
          <w:tab w:val="left" w:pos="284"/>
        </w:tabs>
        <w:spacing w:line="276" w:lineRule="auto"/>
        <w:ind w:left="0" w:right="-1220" w:hanging="2"/>
        <w:jc w:val="center"/>
        <w:rPr>
          <w:rFonts w:ascii="Titillium Web" w:eastAsia="Titillium Web" w:hAnsi="Titillium Web" w:cs="Titillium Web"/>
          <w:color w:val="000000"/>
          <w:sz w:val="22"/>
          <w:szCs w:val="22"/>
          <w:highlight w:val="white"/>
        </w:rPr>
      </w:pPr>
      <w:r>
        <w:rPr>
          <w:rFonts w:ascii="Titillium Web" w:eastAsia="Titillium Web" w:hAnsi="Titillium Web" w:cs="Titillium Web"/>
          <w:b/>
          <w:color w:val="000000"/>
          <w:sz w:val="22"/>
          <w:szCs w:val="22"/>
          <w:highlight w:val="white"/>
        </w:rPr>
        <w:t xml:space="preserve">Art.  </w:t>
      </w:r>
      <w:r>
        <w:rPr>
          <w:rFonts w:ascii="Titillium Web" w:eastAsia="Titillium Web" w:hAnsi="Titillium Web" w:cs="Titillium Web"/>
          <w:b/>
          <w:color w:val="000000"/>
          <w:sz w:val="22"/>
          <w:szCs w:val="22"/>
          <w:highlight w:val="white"/>
          <w:u w:val="single"/>
        </w:rPr>
        <w:t xml:space="preserve">Termini di </w:t>
      </w:r>
      <w:r>
        <w:rPr>
          <w:rFonts w:ascii="Titillium Web" w:eastAsia="Titillium Web" w:hAnsi="Titillium Web" w:cs="Titillium Web"/>
          <w:b/>
          <w:color w:val="000000"/>
          <w:sz w:val="22"/>
          <w:szCs w:val="22"/>
          <w:highlight w:val="white"/>
          <w:u w:val="single"/>
        </w:rPr>
        <w:t>consegna</w:t>
      </w:r>
    </w:p>
    <w:p w14:paraId="3CD26F76" w14:textId="77777777" w:rsidR="00BC74F4" w:rsidRDefault="007477EA">
      <w:pPr>
        <w:keepNext/>
        <w:widowControl w:val="0"/>
        <w:pBdr>
          <w:top w:val="nil"/>
          <w:left w:val="nil"/>
          <w:bottom w:val="nil"/>
          <w:right w:val="nil"/>
          <w:between w:val="nil"/>
        </w:pBdr>
        <w:tabs>
          <w:tab w:val="left" w:pos="142"/>
          <w:tab w:val="left" w:pos="284"/>
        </w:tabs>
        <w:spacing w:line="276" w:lineRule="auto"/>
        <w:ind w:left="0" w:right="-1220" w:hanging="2"/>
        <w:jc w:val="both"/>
        <w:rPr>
          <w:rFonts w:ascii="Titillium Web" w:eastAsia="Titillium Web" w:hAnsi="Titillium Web" w:cs="Titillium Web"/>
          <w:sz w:val="22"/>
          <w:szCs w:val="22"/>
          <w:highlight w:val="white"/>
        </w:rPr>
      </w:pPr>
      <w:r>
        <w:rPr>
          <w:rFonts w:ascii="Titillium Web" w:eastAsia="Titillium Web" w:hAnsi="Titillium Web" w:cs="Titillium Web"/>
          <w:color w:val="000000"/>
          <w:sz w:val="22"/>
          <w:szCs w:val="22"/>
          <w:highlight w:val="white"/>
        </w:rPr>
        <w:t>La/le prestazioni, indicate al precedente articolo, dovrà/anno essere consegnata/e secondo i tempi e le modalit</w:t>
      </w:r>
      <w:r>
        <w:rPr>
          <w:rFonts w:ascii="Titillium Web" w:eastAsia="Titillium Web" w:hAnsi="Titillium Web" w:cs="Titillium Web"/>
          <w:sz w:val="22"/>
          <w:szCs w:val="22"/>
          <w:highlight w:val="white"/>
        </w:rPr>
        <w:t xml:space="preserve">à indicate nella documentazione relativa all’appalto di cui alle premesse e nel presente contratto. </w:t>
      </w:r>
      <w:r w:rsidRPr="00877927">
        <w:rPr>
          <w:rFonts w:ascii="Titillium Web" w:eastAsia="Titillium Web" w:hAnsi="Titillium Web" w:cs="Titillium Web"/>
          <w:color w:val="C00000"/>
          <w:sz w:val="22"/>
          <w:szCs w:val="22"/>
          <w:highlight w:val="white"/>
        </w:rPr>
        <w:lastRenderedPageBreak/>
        <w:t>[</w:t>
      </w:r>
      <w:r>
        <w:rPr>
          <w:rFonts w:ascii="Titillium Web" w:eastAsia="Titillium Web" w:hAnsi="Titillium Web" w:cs="Titillium Web"/>
          <w:sz w:val="22"/>
          <w:szCs w:val="22"/>
          <w:highlight w:val="white"/>
        </w:rPr>
        <w:t xml:space="preserve">Detto termine rispetta il </w:t>
      </w:r>
      <w:r>
        <w:rPr>
          <w:rFonts w:ascii="Titillium Web" w:eastAsia="Titillium Web" w:hAnsi="Titillium Web" w:cs="Titillium Web"/>
          <w:sz w:val="22"/>
          <w:szCs w:val="22"/>
          <w:highlight w:val="white"/>
        </w:rPr>
        <w:t>Cronoprogramma dell’ottenimento del finanziamento</w:t>
      </w:r>
      <w:r w:rsidRPr="00877927">
        <w:rPr>
          <w:rFonts w:ascii="Titillium Web" w:eastAsia="Titillium Web" w:hAnsi="Titillium Web" w:cs="Titillium Web"/>
          <w:color w:val="C00000"/>
          <w:sz w:val="22"/>
          <w:szCs w:val="22"/>
          <w:highlight w:val="white"/>
        </w:rPr>
        <w:t>]</w:t>
      </w:r>
      <w:r>
        <w:rPr>
          <w:rFonts w:ascii="Titillium Web" w:eastAsia="Titillium Web" w:hAnsi="Titillium Web" w:cs="Titillium Web"/>
          <w:sz w:val="22"/>
          <w:szCs w:val="22"/>
          <w:highlight w:val="white"/>
        </w:rPr>
        <w:t>.</w:t>
      </w:r>
    </w:p>
    <w:p w14:paraId="700ADE67" w14:textId="77777777" w:rsidR="00BC74F4" w:rsidRDefault="007477EA">
      <w:pPr>
        <w:keepNext/>
        <w:widowControl w:val="0"/>
        <w:pBdr>
          <w:top w:val="nil"/>
          <w:left w:val="nil"/>
          <w:bottom w:val="nil"/>
          <w:right w:val="nil"/>
          <w:between w:val="nil"/>
        </w:pBdr>
        <w:tabs>
          <w:tab w:val="left" w:pos="142"/>
          <w:tab w:val="left" w:pos="284"/>
        </w:tabs>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sz w:val="22"/>
          <w:szCs w:val="22"/>
          <w:highlight w:val="white"/>
        </w:rPr>
        <w:t>L’Operatore economico dovrà eseguire le prestazioni contra</w:t>
      </w:r>
      <w:r>
        <w:rPr>
          <w:rFonts w:ascii="Titillium Web" w:eastAsia="Titillium Web" w:hAnsi="Titillium Web" w:cs="Titillium Web"/>
          <w:color w:val="000000"/>
          <w:sz w:val="22"/>
          <w:szCs w:val="22"/>
          <w:highlight w:val="white"/>
        </w:rPr>
        <w:t>ttuali nei seguenti termini:</w:t>
      </w:r>
    </w:p>
    <w:p w14:paraId="6C02FBC5" w14:textId="77777777" w:rsidR="00BC74F4" w:rsidRDefault="007477EA">
      <w:pPr>
        <w:keepNext/>
        <w:widowControl w:val="0"/>
        <w:numPr>
          <w:ilvl w:val="0"/>
          <w:numId w:val="7"/>
        </w:numPr>
        <w:pBdr>
          <w:top w:val="nil"/>
          <w:left w:val="nil"/>
          <w:bottom w:val="nil"/>
          <w:right w:val="nil"/>
          <w:between w:val="nil"/>
        </w:pBdr>
        <w:tabs>
          <w:tab w:val="left" w:pos="142"/>
          <w:tab w:val="left" w:pos="284"/>
        </w:tabs>
        <w:spacing w:line="276" w:lineRule="auto"/>
        <w:ind w:left="0" w:right="-1220" w:hanging="2"/>
        <w:jc w:val="both"/>
        <w:rPr>
          <w:rFonts w:ascii="Titillium Web" w:eastAsia="Titillium Web" w:hAnsi="Titillium Web" w:cs="Titillium Web"/>
          <w:color w:val="C00000"/>
          <w:sz w:val="22"/>
          <w:szCs w:val="22"/>
          <w:highlight w:val="white"/>
        </w:rPr>
      </w:pPr>
      <w:r w:rsidRPr="00877927">
        <w:rPr>
          <w:rFonts w:ascii="Titillium Web" w:eastAsia="Titillium Web" w:hAnsi="Titillium Web" w:cs="Titillium Web"/>
          <w:color w:val="C00000"/>
          <w:sz w:val="22"/>
          <w:szCs w:val="22"/>
          <w:highlight w:val="white"/>
        </w:rPr>
        <w:t>[</w:t>
      </w:r>
      <w:r>
        <w:rPr>
          <w:rFonts w:ascii="Titillium Web" w:eastAsia="Titillium Web" w:hAnsi="Titillium Web" w:cs="Titillium Web"/>
          <w:color w:val="C00000"/>
          <w:sz w:val="22"/>
          <w:szCs w:val="22"/>
          <w:highlight w:val="white"/>
        </w:rPr>
        <w:t xml:space="preserve">Specificare i termini di esecuzione per ciascuna prestazione principale e secondaria del servizio/fornitura] </w:t>
      </w:r>
    </w:p>
    <w:p w14:paraId="49819333" w14:textId="77777777" w:rsidR="00BC74F4" w:rsidRDefault="007477EA">
      <w:pPr>
        <w:keepNext/>
        <w:widowControl w:val="0"/>
        <w:numPr>
          <w:ilvl w:val="0"/>
          <w:numId w:val="7"/>
        </w:numPr>
        <w:pBdr>
          <w:top w:val="nil"/>
          <w:left w:val="nil"/>
          <w:bottom w:val="nil"/>
          <w:right w:val="nil"/>
          <w:between w:val="nil"/>
        </w:pBdr>
        <w:tabs>
          <w:tab w:val="left" w:pos="142"/>
          <w:tab w:val="left" w:pos="284"/>
        </w:tabs>
        <w:spacing w:line="276" w:lineRule="auto"/>
        <w:ind w:left="0" w:right="-1220" w:hanging="2"/>
        <w:jc w:val="both"/>
        <w:rPr>
          <w:rFonts w:ascii="Titillium Web" w:eastAsia="Titillium Web" w:hAnsi="Titillium Web" w:cs="Titillium Web"/>
          <w:color w:val="C00000"/>
          <w:sz w:val="22"/>
          <w:szCs w:val="22"/>
          <w:highlight w:val="white"/>
        </w:rPr>
      </w:pPr>
      <w:r>
        <w:rPr>
          <w:rFonts w:ascii="Titillium Web" w:eastAsia="Titillium Web" w:hAnsi="Titillium Web" w:cs="Titillium Web"/>
          <w:color w:val="C00000"/>
          <w:sz w:val="22"/>
          <w:szCs w:val="22"/>
          <w:highlight w:val="white"/>
        </w:rPr>
        <w:t xml:space="preserve">[Se </w:t>
      </w:r>
      <w:r>
        <w:rPr>
          <w:rFonts w:ascii="Titillium Web" w:eastAsia="Titillium Web" w:hAnsi="Titillium Web" w:cs="Titillium Web"/>
          <w:color w:val="C00000"/>
          <w:sz w:val="22"/>
          <w:szCs w:val="22"/>
          <w:highlight w:val="white"/>
        </w:rPr>
        <w:t>pertinenti, indicare i termini previsti dal Piano Nazionale di Ripresa e Resilienza per Milestones e target correlati all’investimento]</w:t>
      </w:r>
    </w:p>
    <w:p w14:paraId="0AF8F541" w14:textId="77777777" w:rsidR="00BC74F4" w:rsidRDefault="00BC74F4">
      <w:pPr>
        <w:keepNext/>
        <w:widowControl w:val="0"/>
        <w:pBdr>
          <w:top w:val="nil"/>
          <w:left w:val="nil"/>
          <w:bottom w:val="nil"/>
          <w:right w:val="nil"/>
          <w:between w:val="nil"/>
        </w:pBdr>
        <w:tabs>
          <w:tab w:val="left" w:pos="142"/>
          <w:tab w:val="left" w:pos="284"/>
        </w:tabs>
        <w:spacing w:line="276" w:lineRule="auto"/>
        <w:ind w:left="0" w:right="-1220" w:hanging="2"/>
        <w:jc w:val="both"/>
        <w:rPr>
          <w:rFonts w:ascii="Titillium Web" w:eastAsia="Titillium Web" w:hAnsi="Titillium Web" w:cs="Titillium Web"/>
          <w:color w:val="C00000"/>
          <w:sz w:val="22"/>
          <w:szCs w:val="22"/>
          <w:highlight w:val="white"/>
        </w:rPr>
      </w:pPr>
    </w:p>
    <w:p w14:paraId="0BE57D68" w14:textId="3366206B" w:rsidR="00BC74F4" w:rsidRDefault="007477EA">
      <w:pPr>
        <w:keepNext/>
        <w:widowControl w:val="0"/>
        <w:pBdr>
          <w:top w:val="nil"/>
          <w:left w:val="nil"/>
          <w:bottom w:val="nil"/>
          <w:right w:val="nil"/>
          <w:between w:val="nil"/>
        </w:pBdr>
        <w:tabs>
          <w:tab w:val="left" w:pos="284"/>
        </w:tabs>
        <w:spacing w:line="276" w:lineRule="auto"/>
        <w:ind w:left="0" w:right="-1220" w:hanging="2"/>
        <w:jc w:val="center"/>
        <w:rPr>
          <w:rFonts w:ascii="Titillium Web" w:eastAsia="Titillium Web" w:hAnsi="Titillium Web" w:cs="Titillium Web"/>
          <w:color w:val="000000"/>
          <w:sz w:val="22"/>
          <w:szCs w:val="22"/>
          <w:highlight w:val="white"/>
        </w:rPr>
      </w:pPr>
      <w:r>
        <w:rPr>
          <w:rFonts w:ascii="Titillium Web" w:eastAsia="Titillium Web" w:hAnsi="Titillium Web" w:cs="Titillium Web"/>
          <w:b/>
          <w:color w:val="000000"/>
          <w:sz w:val="22"/>
          <w:szCs w:val="22"/>
          <w:highlight w:val="white"/>
        </w:rPr>
        <w:t xml:space="preserve">Art.  </w:t>
      </w:r>
      <w:r>
        <w:rPr>
          <w:rFonts w:ascii="Titillium Web" w:eastAsia="Titillium Web" w:hAnsi="Titillium Web" w:cs="Titillium Web"/>
          <w:b/>
          <w:color w:val="000000"/>
          <w:sz w:val="22"/>
          <w:szCs w:val="22"/>
          <w:highlight w:val="white"/>
          <w:u w:val="single"/>
        </w:rPr>
        <w:t>Corrispettivo</w:t>
      </w:r>
      <w:r>
        <w:rPr>
          <w:rFonts w:ascii="Titillium Web" w:eastAsia="Titillium Web" w:hAnsi="Titillium Web" w:cs="Titillium Web"/>
          <w:color w:val="000000"/>
          <w:sz w:val="22"/>
          <w:szCs w:val="22"/>
          <w:highlight w:val="white"/>
        </w:rPr>
        <w:t xml:space="preserve"> </w:t>
      </w:r>
    </w:p>
    <w:p w14:paraId="7E08BA7F" w14:textId="4FEEAB3C" w:rsidR="00BC74F4" w:rsidRDefault="007477EA">
      <w:pPr>
        <w:keepNext/>
        <w:widowControl w:val="0"/>
        <w:pBdr>
          <w:top w:val="nil"/>
          <w:left w:val="nil"/>
          <w:bottom w:val="nil"/>
          <w:right w:val="nil"/>
          <w:between w:val="nil"/>
        </w:pBdr>
        <w:tabs>
          <w:tab w:val="left" w:pos="284"/>
        </w:tabs>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sz w:val="22"/>
          <w:szCs w:val="22"/>
          <w:highlight w:val="white"/>
        </w:rPr>
        <w:t>L’______________________</w:t>
      </w:r>
      <w:r>
        <w:rPr>
          <w:rFonts w:ascii="Titillium Web" w:eastAsia="Titillium Web" w:hAnsi="Titillium Web" w:cs="Titillium Web"/>
          <w:color w:val="000000"/>
          <w:sz w:val="22"/>
          <w:szCs w:val="22"/>
          <w:highlight w:val="white"/>
        </w:rPr>
        <w:t xml:space="preserve"> corrisponderà all’OPERATORE ECONOMICO l'importo di </w:t>
      </w:r>
      <w:sdt>
        <w:sdtPr>
          <w:tag w:val="goog_rdk_0"/>
          <w:id w:val="548266049"/>
        </w:sdtPr>
        <w:sdtEndPr/>
        <w:sdtContent>
          <w:r>
            <w:rPr>
              <w:rFonts w:ascii="PT Mono" w:eastAsia="PT Mono" w:hAnsi="PT Mono" w:cs="PT Mono"/>
              <w:sz w:val="22"/>
              <w:szCs w:val="22"/>
              <w:highlight w:val="white"/>
            </w:rPr>
            <w:t>€ ......…………</w:t>
          </w:r>
        </w:sdtContent>
      </w:sdt>
      <w:r>
        <w:rPr>
          <w:rFonts w:ascii="Titillium Web" w:eastAsia="Titillium Web" w:hAnsi="Titillium Web" w:cs="Titillium Web"/>
          <w:color w:val="000000"/>
          <w:sz w:val="22"/>
          <w:szCs w:val="22"/>
          <w:highlight w:val="white"/>
        </w:rPr>
        <w:t xml:space="preserve"> </w:t>
      </w:r>
      <w:sdt>
        <w:sdtPr>
          <w:rPr>
            <w:rFonts w:ascii="Titillium Web" w:eastAsia="Titillium Web" w:hAnsi="Titillium Web" w:cs="Titillium Web"/>
            <w:sz w:val="22"/>
            <w:szCs w:val="22"/>
          </w:rPr>
          <w:tag w:val="goog_rdk_1"/>
          <w:id w:val="-1803677347"/>
        </w:sdtPr>
        <w:sdtEndPr/>
        <w:sdtContent>
          <w:r w:rsidRPr="00877927">
            <w:rPr>
              <w:rFonts w:ascii="Titillium Web" w:eastAsia="Titillium Web" w:hAnsi="Titillium Web" w:cs="Titillium Web"/>
              <w:sz w:val="22"/>
              <w:szCs w:val="22"/>
            </w:rPr>
            <w:t>(Euro ...………</w:t>
          </w:r>
          <w:proofErr w:type="gramStart"/>
          <w:r w:rsidRPr="00877927">
            <w:rPr>
              <w:rFonts w:ascii="Titillium Web" w:eastAsia="Titillium Web" w:hAnsi="Titillium Web" w:cs="Titillium Web"/>
              <w:sz w:val="22"/>
              <w:szCs w:val="22"/>
            </w:rPr>
            <w:t>…</w:t>
          </w:r>
          <w:r w:rsidR="00877927" w:rsidRPr="00877927">
            <w:rPr>
              <w:rFonts w:ascii="Titillium Web" w:eastAsia="Titillium Web" w:hAnsi="Titillium Web" w:cs="Titillium Web"/>
              <w:sz w:val="22"/>
              <w:szCs w:val="22"/>
            </w:rPr>
            <w:t>....</w:t>
          </w:r>
          <w:proofErr w:type="gramEnd"/>
          <w:r w:rsidRPr="00877927">
            <w:rPr>
              <w:rFonts w:ascii="Titillium Web" w:eastAsia="Titillium Web" w:hAnsi="Titillium Web" w:cs="Titillium Web"/>
              <w:sz w:val="22"/>
              <w:szCs w:val="22"/>
            </w:rPr>
            <w:t>/..=) come risultante dall’o</w:t>
          </w:r>
          <w:r w:rsidR="00877927">
            <w:rPr>
              <w:rFonts w:eastAsia="Titillium Web"/>
              <w:sz w:val="22"/>
              <w:szCs w:val="22"/>
            </w:rPr>
            <w:t>ff</w:t>
          </w:r>
          <w:r w:rsidRPr="00877927">
            <w:rPr>
              <w:rFonts w:ascii="Titillium Web" w:eastAsia="Titillium Web" w:hAnsi="Titillium Web" w:cs="Titillium Web"/>
              <w:sz w:val="22"/>
              <w:szCs w:val="22"/>
            </w:rPr>
            <w:t>erta presentata dall’impresa in sede di gara. L’I</w:t>
          </w:r>
        </w:sdtContent>
      </w:sdt>
      <w:r w:rsidRPr="00877927">
        <w:rPr>
          <w:rFonts w:ascii="Titillium Web" w:eastAsia="Titillium Web" w:hAnsi="Titillium Web" w:cs="Titillium Web"/>
          <w:sz w:val="22"/>
          <w:szCs w:val="22"/>
        </w:rPr>
        <w:t xml:space="preserve">VA, pari al 22% (ventidue per cento) sarà versata secondo quanto previsto in materia di </w:t>
      </w:r>
      <w:r w:rsidRPr="00877927">
        <w:rPr>
          <w:rFonts w:ascii="Titillium Web" w:eastAsia="Titillium Web" w:hAnsi="Titillium Web" w:cs="Titillium Web"/>
          <w:sz w:val="22"/>
          <w:szCs w:val="22"/>
        </w:rPr>
        <w:t>split payment da</w:t>
      </w:r>
      <w:r w:rsidR="00877927" w:rsidRPr="00877927">
        <w:rPr>
          <w:rFonts w:ascii="Titillium Web" w:eastAsia="Titillium Web" w:hAnsi="Titillium Web" w:cs="Titillium Web"/>
          <w:sz w:val="22"/>
          <w:szCs w:val="22"/>
        </w:rPr>
        <w:t>ll’art. 17 ter del d.P.R. numero 633/1972 e successive modifiche ed integrazioni. I costi della manodopera sono pari ad euro.... e gli oneri di sicurezza pari ad euro ………. Il costo complessivo a carico dell’_________________ è quindi pari a € …. (euro …=). Il corrispettiv</w:t>
      </w:r>
      <w:r>
        <w:rPr>
          <w:rFonts w:ascii="Titillium Web" w:eastAsia="Titillium Web" w:hAnsi="Titillium Web" w:cs="Titillium Web"/>
          <w:sz w:val="22"/>
          <w:szCs w:val="22"/>
        </w:rPr>
        <w:t xml:space="preserve">o si intende, </w:t>
      </w:r>
      <w:r w:rsidR="00877927">
        <w:rPr>
          <w:rFonts w:ascii="Titillium Web" w:eastAsia="Titillium Web" w:hAnsi="Titillium Web" w:cs="Titillium Web"/>
          <w:sz w:val="22"/>
          <w:szCs w:val="22"/>
        </w:rPr>
        <w:t>pertanto, comprensivo</w:t>
      </w:r>
      <w:r>
        <w:rPr>
          <w:rFonts w:ascii="Titillium Web" w:eastAsia="Titillium Web" w:hAnsi="Titillium Web" w:cs="Titillium Web"/>
          <w:sz w:val="22"/>
          <w:szCs w:val="22"/>
        </w:rPr>
        <w:t xml:space="preserve"> di ogni onere, obbligo e utile e comunque idoneo alla regolare esecuzione dell’appalto oggetto del presente Contratto.</w:t>
      </w:r>
    </w:p>
    <w:p w14:paraId="2FE7916D" w14:textId="77777777" w:rsidR="00BC74F4" w:rsidRDefault="00BC74F4">
      <w:pPr>
        <w:keepNext/>
        <w:widowControl w:val="0"/>
        <w:pBdr>
          <w:top w:val="nil"/>
          <w:left w:val="nil"/>
          <w:bottom w:val="nil"/>
          <w:right w:val="nil"/>
          <w:between w:val="nil"/>
        </w:pBdr>
        <w:tabs>
          <w:tab w:val="left" w:pos="284"/>
        </w:tabs>
        <w:spacing w:line="276" w:lineRule="auto"/>
        <w:ind w:left="0" w:right="-1220" w:hanging="2"/>
        <w:jc w:val="both"/>
        <w:rPr>
          <w:rFonts w:ascii="Titillium Web" w:eastAsia="Titillium Web" w:hAnsi="Titillium Web" w:cs="Titillium Web"/>
          <w:sz w:val="22"/>
          <w:szCs w:val="22"/>
          <w:highlight w:val="white"/>
        </w:rPr>
      </w:pPr>
    </w:p>
    <w:p w14:paraId="61C2BCAA" w14:textId="77777777" w:rsidR="00BC74F4" w:rsidRDefault="007477EA">
      <w:pPr>
        <w:widowControl w:val="0"/>
        <w:pBdr>
          <w:top w:val="nil"/>
          <w:left w:val="nil"/>
          <w:bottom w:val="nil"/>
          <w:right w:val="nil"/>
          <w:between w:val="nil"/>
        </w:pBdr>
        <w:tabs>
          <w:tab w:val="left" w:pos="284"/>
        </w:tabs>
        <w:spacing w:line="276" w:lineRule="auto"/>
        <w:ind w:left="0" w:right="-1220" w:hanging="2"/>
        <w:jc w:val="center"/>
        <w:rPr>
          <w:rFonts w:ascii="Titillium Web" w:eastAsia="Titillium Web" w:hAnsi="Titillium Web" w:cs="Titillium Web"/>
          <w:color w:val="000000"/>
          <w:sz w:val="22"/>
          <w:szCs w:val="22"/>
          <w:highlight w:val="white"/>
        </w:rPr>
      </w:pPr>
      <w:r>
        <w:rPr>
          <w:rFonts w:ascii="Titillium Web" w:eastAsia="Titillium Web" w:hAnsi="Titillium Web" w:cs="Titillium Web"/>
          <w:b/>
          <w:color w:val="000000"/>
          <w:sz w:val="22"/>
          <w:szCs w:val="22"/>
          <w:highlight w:val="white"/>
          <w:u w:val="single"/>
        </w:rPr>
        <w:t>Art. Revisione prezzi</w:t>
      </w:r>
    </w:p>
    <w:p w14:paraId="06CCBD33" w14:textId="77777777" w:rsidR="00BC74F4" w:rsidRDefault="007477EA">
      <w:pPr>
        <w:widowControl w:val="0"/>
        <w:pBdr>
          <w:top w:val="nil"/>
          <w:left w:val="nil"/>
          <w:bottom w:val="nil"/>
          <w:right w:val="nil"/>
          <w:between w:val="nil"/>
        </w:pBdr>
        <w:tabs>
          <w:tab w:val="left" w:pos="284"/>
        </w:tabs>
        <w:spacing w:line="276" w:lineRule="auto"/>
        <w:ind w:left="0" w:right="-1220" w:hanging="2"/>
        <w:jc w:val="both"/>
        <w:rPr>
          <w:rFonts w:ascii="Titillium Web" w:eastAsia="Titillium Web" w:hAnsi="Titillium Web" w:cs="Titillium Web"/>
          <w:b/>
          <w:color w:val="000000"/>
          <w:sz w:val="22"/>
          <w:szCs w:val="22"/>
          <w:highlight w:val="white"/>
        </w:rPr>
      </w:pPr>
      <w:r>
        <w:rPr>
          <w:rFonts w:ascii="Titillium Web" w:eastAsia="Titillium Web" w:hAnsi="Titillium Web" w:cs="Titillium Web"/>
          <w:b/>
          <w:color w:val="C00000"/>
          <w:sz w:val="22"/>
          <w:szCs w:val="22"/>
          <w:highlight w:val="white"/>
        </w:rPr>
        <w:t xml:space="preserve">[Per servizi/forniture: </w:t>
      </w:r>
      <w:r>
        <w:rPr>
          <w:rFonts w:ascii="Titillium Web" w:eastAsia="Titillium Web" w:hAnsi="Titillium Web" w:cs="Titillium Web"/>
          <w:color w:val="000000"/>
          <w:sz w:val="22"/>
          <w:szCs w:val="22"/>
          <w:highlight w:val="white"/>
        </w:rPr>
        <w:t>A partire dalla seconda annualità contrattuale i prezzi sono aggiornati, in aumento o in diminuzione sulla base dei prezzi standard rilevati dall’ANAC, degli elenchi dei prezzi rilevati dall’ISTAT, oppure, qualora i dati suindicati non siano disponibili, in misura non superiore alla differenza tra l’indice Istat dei prezzi al consumo per le famiglie di operai e impiegati, al netto dei tabacchi (c.d. FOI) disponibile al momento del pagamento del corrispettivo e quello corrispondente al mese/anno di sottoscri</w:t>
      </w:r>
      <w:r>
        <w:rPr>
          <w:rFonts w:ascii="Titillium Web" w:eastAsia="Titillium Web" w:hAnsi="Titillium Web" w:cs="Titillium Web"/>
          <w:color w:val="000000"/>
          <w:sz w:val="22"/>
          <w:szCs w:val="22"/>
          <w:highlight w:val="white"/>
        </w:rPr>
        <w:t xml:space="preserve">zione del contratto. La revisione dei prezzi è riconosciuta se le variazioni accertate risultano superiori al 10% </w:t>
      </w:r>
      <w:r>
        <w:rPr>
          <w:rFonts w:ascii="Titillium Web" w:eastAsia="Titillium Web" w:hAnsi="Titillium Web" w:cs="Titillium Web"/>
          <w:b/>
          <w:color w:val="C00000"/>
          <w:sz w:val="22"/>
          <w:szCs w:val="22"/>
          <w:highlight w:val="white"/>
        </w:rPr>
        <w:t>[si consiglia la % del 10% in base all’art.664 C.C rispetto al prezzo originario).</w:t>
      </w:r>
      <w:r>
        <w:rPr>
          <w:rFonts w:ascii="Titillium Web" w:eastAsia="Titillium Web" w:hAnsi="Titillium Web" w:cs="Titillium Web"/>
          <w:color w:val="C00000"/>
          <w:sz w:val="22"/>
          <w:szCs w:val="22"/>
          <w:highlight w:val="white"/>
        </w:rPr>
        <w:t xml:space="preserve"> </w:t>
      </w:r>
      <w:r>
        <w:rPr>
          <w:rFonts w:ascii="Titillium Web" w:eastAsia="Titillium Web" w:hAnsi="Titillium Web" w:cs="Titillium Web"/>
          <w:color w:val="000000"/>
          <w:sz w:val="22"/>
          <w:szCs w:val="22"/>
          <w:highlight w:val="white"/>
        </w:rPr>
        <w:t xml:space="preserve">La revisione dei prezzi può essere richiesta una sola volta per ciascuna </w:t>
      </w:r>
      <w:r>
        <w:rPr>
          <w:rFonts w:ascii="Titillium Web" w:eastAsia="Titillium Web" w:hAnsi="Titillium Web" w:cs="Titillium Web"/>
          <w:color w:val="000000"/>
          <w:sz w:val="22"/>
          <w:szCs w:val="22"/>
          <w:highlight w:val="white"/>
        </w:rPr>
        <w:t>annualità a partire dal secondo anno.</w:t>
      </w:r>
      <w:r>
        <w:rPr>
          <w:rFonts w:ascii="Titillium Web" w:eastAsia="Titillium Web" w:hAnsi="Titillium Web" w:cs="Titillium Web"/>
          <w:b/>
          <w:color w:val="000000"/>
          <w:sz w:val="22"/>
          <w:szCs w:val="22"/>
          <w:highlight w:val="white"/>
        </w:rPr>
        <w:t xml:space="preserve"> </w:t>
      </w:r>
    </w:p>
    <w:p w14:paraId="7782EF2B" w14:textId="77777777" w:rsidR="00BC74F4" w:rsidRDefault="00BC74F4">
      <w:pPr>
        <w:widowControl w:val="0"/>
        <w:pBdr>
          <w:top w:val="nil"/>
          <w:left w:val="nil"/>
          <w:bottom w:val="nil"/>
          <w:right w:val="nil"/>
          <w:between w:val="nil"/>
        </w:pBdr>
        <w:tabs>
          <w:tab w:val="left" w:pos="284"/>
        </w:tabs>
        <w:spacing w:line="276" w:lineRule="auto"/>
        <w:ind w:left="0" w:right="-1220" w:hanging="2"/>
        <w:jc w:val="both"/>
        <w:rPr>
          <w:rFonts w:ascii="Titillium Web" w:eastAsia="Titillium Web" w:hAnsi="Titillium Web" w:cs="Titillium Web"/>
          <w:b/>
          <w:sz w:val="22"/>
          <w:szCs w:val="22"/>
          <w:highlight w:val="white"/>
        </w:rPr>
      </w:pPr>
    </w:p>
    <w:p w14:paraId="751E33D0" w14:textId="77777777" w:rsidR="00BC74F4" w:rsidRDefault="007477EA">
      <w:pPr>
        <w:widowControl w:val="0"/>
        <w:pBdr>
          <w:top w:val="nil"/>
          <w:left w:val="nil"/>
          <w:bottom w:val="nil"/>
          <w:right w:val="nil"/>
          <w:between w:val="nil"/>
        </w:pBdr>
        <w:tabs>
          <w:tab w:val="left" w:pos="284"/>
        </w:tabs>
        <w:spacing w:line="276" w:lineRule="auto"/>
        <w:ind w:left="0" w:right="-1220" w:hanging="2"/>
        <w:jc w:val="center"/>
        <w:rPr>
          <w:rFonts w:ascii="Titillium Web" w:eastAsia="Titillium Web" w:hAnsi="Titillium Web" w:cs="Titillium Web"/>
          <w:b/>
          <w:sz w:val="22"/>
          <w:szCs w:val="22"/>
          <w:highlight w:val="white"/>
          <w:u w:val="single"/>
        </w:rPr>
      </w:pPr>
      <w:r>
        <w:rPr>
          <w:rFonts w:ascii="Titillium Web" w:eastAsia="Titillium Web" w:hAnsi="Titillium Web" w:cs="Titillium Web"/>
          <w:b/>
          <w:sz w:val="22"/>
          <w:szCs w:val="22"/>
          <w:highlight w:val="white"/>
          <w:u w:val="single"/>
        </w:rPr>
        <w:t>Art.  Modifica del contratto</w:t>
      </w:r>
    </w:p>
    <w:p w14:paraId="22B6A1AF" w14:textId="77777777" w:rsidR="00BC74F4" w:rsidRDefault="007477EA">
      <w:pPr>
        <w:widowControl w:val="0"/>
        <w:pBdr>
          <w:top w:val="nil"/>
          <w:left w:val="nil"/>
          <w:bottom w:val="nil"/>
          <w:right w:val="nil"/>
          <w:between w:val="nil"/>
        </w:pBdr>
        <w:tabs>
          <w:tab w:val="left" w:pos="284"/>
        </w:tabs>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sz w:val="22"/>
          <w:szCs w:val="22"/>
          <w:highlight w:val="white"/>
        </w:rPr>
        <w:t xml:space="preserve"> L’___________________, ai sensi dell’art.120 del Codice dei Contratto, si riserva la facoltà di esercitare tutte le modifiche al presente contratto in corso di esecuzione, </w:t>
      </w:r>
      <w:r w:rsidRPr="00877927">
        <w:rPr>
          <w:rFonts w:ascii="Titillium Web" w:eastAsia="Titillium Web" w:hAnsi="Titillium Web" w:cs="Titillium Web"/>
          <w:color w:val="C00000"/>
          <w:sz w:val="22"/>
          <w:szCs w:val="22"/>
          <w:highlight w:val="white"/>
        </w:rPr>
        <w:t>[</w:t>
      </w:r>
      <w:r>
        <w:rPr>
          <w:rFonts w:ascii="Titillium Web" w:eastAsia="Titillium Web" w:hAnsi="Titillium Web" w:cs="Titillium Web"/>
          <w:sz w:val="22"/>
          <w:szCs w:val="22"/>
          <w:highlight w:val="white"/>
        </w:rPr>
        <w:t xml:space="preserve">limitatamente alla condizione </w:t>
      </w:r>
      <w:r>
        <w:rPr>
          <w:rFonts w:ascii="Titillium Web" w:eastAsia="Titillium Web" w:hAnsi="Titillium Web" w:cs="Titillium Web"/>
          <w:sz w:val="22"/>
          <w:szCs w:val="22"/>
          <w:highlight w:val="white"/>
        </w:rPr>
        <w:lastRenderedPageBreak/>
        <w:t>e al tempo previsto dalle disposizioni suddette</w:t>
      </w:r>
      <w:r w:rsidRPr="00877927">
        <w:rPr>
          <w:rFonts w:ascii="Titillium Web" w:eastAsia="Titillium Web" w:hAnsi="Titillium Web" w:cs="Titillium Web"/>
          <w:color w:val="C00000"/>
          <w:sz w:val="22"/>
          <w:szCs w:val="22"/>
          <w:highlight w:val="white"/>
        </w:rPr>
        <w:t>]</w:t>
      </w:r>
      <w:r>
        <w:rPr>
          <w:rFonts w:ascii="Titillium Web" w:eastAsia="Titillium Web" w:hAnsi="Titillium Web" w:cs="Titillium Web"/>
          <w:sz w:val="22"/>
          <w:szCs w:val="22"/>
          <w:highlight w:val="white"/>
        </w:rPr>
        <w:t>. Tali modifiche dovranno avvenire … [</w:t>
      </w:r>
      <w:r>
        <w:rPr>
          <w:rFonts w:ascii="Titillium Web" w:eastAsia="Titillium Web" w:hAnsi="Titillium Web" w:cs="Titillium Web"/>
          <w:i/>
          <w:sz w:val="22"/>
          <w:szCs w:val="22"/>
          <w:highlight w:val="white"/>
        </w:rPr>
        <w:t>prevedere condizioni e termini per le modifiche contrattuali</w:t>
      </w:r>
      <w:r>
        <w:rPr>
          <w:rFonts w:ascii="Titillium Web" w:eastAsia="Titillium Web" w:hAnsi="Titillium Web" w:cs="Titillium Web"/>
          <w:sz w:val="22"/>
          <w:szCs w:val="22"/>
          <w:highlight w:val="white"/>
        </w:rPr>
        <w:t>]</w:t>
      </w:r>
    </w:p>
    <w:p w14:paraId="5365786F" w14:textId="77777777" w:rsidR="00BC74F4" w:rsidRDefault="00BC74F4">
      <w:pPr>
        <w:keepNext/>
        <w:widowControl w:val="0"/>
        <w:pBdr>
          <w:top w:val="nil"/>
          <w:left w:val="nil"/>
          <w:bottom w:val="nil"/>
          <w:right w:val="nil"/>
          <w:between w:val="nil"/>
        </w:pBdr>
        <w:tabs>
          <w:tab w:val="left" w:pos="284"/>
        </w:tabs>
        <w:spacing w:line="276" w:lineRule="auto"/>
        <w:ind w:left="0" w:right="-1220" w:hanging="2"/>
        <w:jc w:val="both"/>
        <w:rPr>
          <w:rFonts w:ascii="Titillium Web" w:eastAsia="Titillium Web" w:hAnsi="Titillium Web" w:cs="Titillium Web"/>
          <w:sz w:val="22"/>
          <w:szCs w:val="22"/>
          <w:highlight w:val="white"/>
        </w:rPr>
      </w:pPr>
    </w:p>
    <w:p w14:paraId="76CA2D90" w14:textId="77777777" w:rsidR="00BC74F4" w:rsidRDefault="007477EA">
      <w:pPr>
        <w:keepNext/>
        <w:widowControl w:val="0"/>
        <w:pBdr>
          <w:top w:val="nil"/>
          <w:left w:val="nil"/>
          <w:bottom w:val="nil"/>
          <w:right w:val="nil"/>
          <w:between w:val="nil"/>
        </w:pBdr>
        <w:tabs>
          <w:tab w:val="left" w:pos="284"/>
        </w:tabs>
        <w:spacing w:line="276" w:lineRule="auto"/>
        <w:ind w:left="0" w:right="-1220" w:hanging="2"/>
        <w:jc w:val="center"/>
        <w:rPr>
          <w:rFonts w:ascii="Titillium Web" w:eastAsia="Titillium Web" w:hAnsi="Titillium Web" w:cs="Titillium Web"/>
          <w:b/>
          <w:color w:val="000000"/>
          <w:sz w:val="22"/>
          <w:szCs w:val="22"/>
          <w:highlight w:val="white"/>
        </w:rPr>
      </w:pPr>
      <w:r>
        <w:rPr>
          <w:rFonts w:ascii="Titillium Web" w:eastAsia="Titillium Web" w:hAnsi="Titillium Web" w:cs="Titillium Web"/>
          <w:b/>
          <w:color w:val="000000"/>
          <w:sz w:val="22"/>
          <w:szCs w:val="22"/>
          <w:highlight w:val="white"/>
        </w:rPr>
        <w:t xml:space="preserve">Art. </w:t>
      </w:r>
      <w:r>
        <w:rPr>
          <w:rFonts w:ascii="Titillium Web" w:eastAsia="Titillium Web" w:hAnsi="Titillium Web" w:cs="Titillium Web"/>
          <w:b/>
          <w:color w:val="000000"/>
          <w:sz w:val="22"/>
          <w:szCs w:val="22"/>
          <w:highlight w:val="white"/>
          <w:u w:val="single"/>
        </w:rPr>
        <w:t>Obblighi a carico dell’Operatore Economico</w:t>
      </w:r>
    </w:p>
    <w:p w14:paraId="4542D517" w14:textId="77777777" w:rsidR="00BC74F4" w:rsidRDefault="007477EA">
      <w:pPr>
        <w:keepNext/>
        <w:widowControl w:val="0"/>
        <w:pBdr>
          <w:top w:val="nil"/>
          <w:left w:val="nil"/>
          <w:bottom w:val="nil"/>
          <w:right w:val="nil"/>
          <w:between w:val="nil"/>
        </w:pBdr>
        <w:tabs>
          <w:tab w:val="left" w:pos="284"/>
        </w:tabs>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L’Operatore economico si obbliga:</w:t>
      </w:r>
    </w:p>
    <w:p w14:paraId="2FF59CDD" w14:textId="77777777" w:rsidR="00BC74F4" w:rsidRDefault="007477EA">
      <w:pPr>
        <w:keepNext/>
        <w:widowControl w:val="0"/>
        <w:numPr>
          <w:ilvl w:val="0"/>
          <w:numId w:val="8"/>
        </w:numPr>
        <w:pBdr>
          <w:top w:val="nil"/>
          <w:left w:val="nil"/>
          <w:bottom w:val="nil"/>
          <w:right w:val="nil"/>
          <w:between w:val="nil"/>
        </w:pBdr>
        <w:tabs>
          <w:tab w:val="left" w:pos="284"/>
        </w:tabs>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 xml:space="preserve">eseguire puntualmente le forniture ed i servizi oggetto del </w:t>
      </w:r>
      <w:r>
        <w:rPr>
          <w:rFonts w:ascii="Titillium Web" w:eastAsia="Titillium Web" w:hAnsi="Titillium Web" w:cs="Titillium Web"/>
          <w:color w:val="000000"/>
          <w:sz w:val="22"/>
          <w:szCs w:val="22"/>
          <w:highlight w:val="white"/>
        </w:rPr>
        <w:t>Contratto, dettagliatamente descritti nel Capitolato Tecnico e impiegando tutte le strutture ed il personale necessario per la loro realizzazione secondo quanto stabilito nel Contratto e negli atti relativi al presente affidamento;</w:t>
      </w:r>
    </w:p>
    <w:p w14:paraId="7C8F8507" w14:textId="77777777" w:rsidR="00BC74F4" w:rsidRDefault="007477EA">
      <w:pPr>
        <w:keepNext/>
        <w:widowControl w:val="0"/>
        <w:numPr>
          <w:ilvl w:val="0"/>
          <w:numId w:val="8"/>
        </w:numPr>
        <w:pBdr>
          <w:top w:val="nil"/>
          <w:left w:val="nil"/>
          <w:bottom w:val="nil"/>
          <w:right w:val="nil"/>
          <w:between w:val="nil"/>
        </w:pBdr>
        <w:tabs>
          <w:tab w:val="left" w:pos="284"/>
        </w:tabs>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eseguire tutte le attività di cui al capitolato tecnico secondo le modalità e le tempistiche ivi riportate;</w:t>
      </w:r>
    </w:p>
    <w:p w14:paraId="28EF46F8" w14:textId="77777777" w:rsidR="00BC74F4" w:rsidRDefault="007477EA">
      <w:pPr>
        <w:keepNext/>
        <w:widowControl w:val="0"/>
        <w:numPr>
          <w:ilvl w:val="0"/>
          <w:numId w:val="8"/>
        </w:numPr>
        <w:pBdr>
          <w:top w:val="nil"/>
          <w:left w:val="nil"/>
          <w:bottom w:val="nil"/>
          <w:right w:val="nil"/>
          <w:between w:val="nil"/>
        </w:pBdr>
        <w:tabs>
          <w:tab w:val="left" w:pos="284"/>
        </w:tabs>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adottare strumenti di contabilità e rendicontazione coerenti con la normativa vigente in materia di Piano Nazionale di Ripresa e Resilienza</w:t>
      </w:r>
      <w:r>
        <w:rPr>
          <w:rFonts w:ascii="Titillium Web" w:eastAsia="Titillium Web" w:hAnsi="Titillium Web" w:cs="Titillium Web"/>
          <w:b/>
          <w:color w:val="000000"/>
          <w:sz w:val="22"/>
          <w:szCs w:val="22"/>
          <w:highlight w:val="white"/>
        </w:rPr>
        <w:t xml:space="preserve"> </w:t>
      </w:r>
      <w:r>
        <w:rPr>
          <w:rFonts w:ascii="Titillium Web" w:eastAsia="Titillium Web" w:hAnsi="Titillium Web" w:cs="Titillium Web"/>
          <w:color w:val="000000"/>
          <w:sz w:val="22"/>
          <w:szCs w:val="22"/>
          <w:highlight w:val="white"/>
        </w:rPr>
        <w:t xml:space="preserve">per consentire </w:t>
      </w:r>
      <w:r>
        <w:rPr>
          <w:rFonts w:ascii="Titillium Web" w:eastAsia="Titillium Web" w:hAnsi="Titillium Web" w:cs="Titillium Web"/>
          <w:color w:val="000000"/>
          <w:sz w:val="22"/>
          <w:szCs w:val="22"/>
          <w:highlight w:val="white"/>
        </w:rPr>
        <w:t>all’amministrazione la verifica degli adempimenti di legge;</w:t>
      </w:r>
    </w:p>
    <w:p w14:paraId="7E826172" w14:textId="77777777" w:rsidR="00BC74F4" w:rsidRDefault="007477EA">
      <w:pPr>
        <w:keepNext/>
        <w:widowControl w:val="0"/>
        <w:numPr>
          <w:ilvl w:val="0"/>
          <w:numId w:val="8"/>
        </w:numPr>
        <w:pBdr>
          <w:top w:val="nil"/>
          <w:left w:val="nil"/>
          <w:bottom w:val="nil"/>
          <w:right w:val="nil"/>
          <w:between w:val="nil"/>
        </w:pBdr>
        <w:tabs>
          <w:tab w:val="left" w:pos="284"/>
        </w:tabs>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predisporre tutti gli strumenti e le metodologie, comprensivi della relativa documentazione, atti a garantire elevati livelli di servizio, ivi compresi quelli relativi alla sicurezza e riservatezza, nonché atti a consentire a INAF di monitorare la conformità della prestazione alle norme previste nel Contratto;</w:t>
      </w:r>
    </w:p>
    <w:p w14:paraId="6AE14BF2" w14:textId="77777777" w:rsidR="00BC74F4" w:rsidRDefault="007477EA">
      <w:pPr>
        <w:keepNext/>
        <w:widowControl w:val="0"/>
        <w:numPr>
          <w:ilvl w:val="0"/>
          <w:numId w:val="8"/>
        </w:numPr>
        <w:pBdr>
          <w:top w:val="nil"/>
          <w:left w:val="nil"/>
          <w:bottom w:val="nil"/>
          <w:right w:val="nil"/>
          <w:between w:val="nil"/>
        </w:pBdr>
        <w:tabs>
          <w:tab w:val="left" w:pos="284"/>
        </w:tabs>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manlevare e tenere indenne INAF per quanto di rispettiva competenza, dalle pretese che i terzi dovessero avanzare in relazione ai danni derivanti da servizi resi in modalità diverse rispetto a quanto previsto nel presente Contratto, ovvero in relazione a diritti di privativa vantati da terzi;</w:t>
      </w:r>
    </w:p>
    <w:p w14:paraId="602B74BA" w14:textId="77777777" w:rsidR="00BC74F4" w:rsidRDefault="007477EA">
      <w:pPr>
        <w:keepNext/>
        <w:widowControl w:val="0"/>
        <w:numPr>
          <w:ilvl w:val="0"/>
          <w:numId w:val="8"/>
        </w:numPr>
        <w:pBdr>
          <w:top w:val="nil"/>
          <w:left w:val="nil"/>
          <w:bottom w:val="nil"/>
          <w:right w:val="nil"/>
          <w:between w:val="nil"/>
        </w:pBdr>
        <w:tabs>
          <w:tab w:val="left" w:pos="284"/>
        </w:tabs>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 xml:space="preserve">per il personale impiegato a qualsiasi titolo nel presente appalto, ad ottemperare nei confronti dei propri dipendenti e collaboratori, a tutti gli obblighi derivanti dalle vigenti disposizioni legislative, regolamentari e di CCNL di categoria, in materia di retribuzione, previdenza, assistenza e assicurazione con esclusione di qualsiasi responsabilità da parte dell’INAF </w:t>
      </w:r>
    </w:p>
    <w:p w14:paraId="7E2A0079" w14:textId="77777777" w:rsidR="00BC74F4" w:rsidRDefault="007477EA">
      <w:pPr>
        <w:keepNext/>
        <w:widowControl w:val="0"/>
        <w:numPr>
          <w:ilvl w:val="0"/>
          <w:numId w:val="8"/>
        </w:numPr>
        <w:pBdr>
          <w:top w:val="nil"/>
          <w:left w:val="nil"/>
          <w:bottom w:val="nil"/>
          <w:right w:val="nil"/>
          <w:between w:val="nil"/>
        </w:pBdr>
        <w:tabs>
          <w:tab w:val="left" w:pos="284"/>
        </w:tabs>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 xml:space="preserve">all’osservanza delle norme e delle disposizioni legislative in materia di prevenzione dagli infortuni e di igiene sul lavoro, impartendo ai propri dipendenti e collaboratori precise istruzioni sui rischi specifici esistenti nell’ambiente di lavoro in cui sono chiamati a prestare la loro attività. In particolare, l'OPERATORE ECONOMICO si impegna a rispettare, nell'esecuzione delle obbligazioni contrattuali, le disposizioni di cui al D.lgs. numero 81/2008 e successive modifiche ed integrazioni. </w:t>
      </w:r>
    </w:p>
    <w:p w14:paraId="2C611A4B" w14:textId="77777777" w:rsidR="00BC74F4" w:rsidRDefault="007477EA">
      <w:pPr>
        <w:keepNext/>
        <w:widowControl w:val="0"/>
        <w:numPr>
          <w:ilvl w:val="0"/>
          <w:numId w:val="8"/>
        </w:numPr>
        <w:pBdr>
          <w:top w:val="nil"/>
          <w:left w:val="nil"/>
          <w:bottom w:val="nil"/>
          <w:right w:val="nil"/>
          <w:between w:val="nil"/>
        </w:pBdr>
        <w:tabs>
          <w:tab w:val="left" w:pos="284"/>
        </w:tabs>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 xml:space="preserve">a far osservare, per quanto compatibile, ai propri dipendenti e collaboratori il Codice di comportamento in materia di anticorruzione del personale INAF, pubblicato nella sezione “Amministrazione trasparente” del sito istituzionale dell’INAF. L’OPERATORE ECONOMICO dichiara di </w:t>
      </w:r>
      <w:r>
        <w:rPr>
          <w:rFonts w:ascii="Titillium Web" w:eastAsia="Titillium Web" w:hAnsi="Titillium Web" w:cs="Titillium Web"/>
          <w:color w:val="000000"/>
          <w:sz w:val="22"/>
          <w:szCs w:val="22"/>
          <w:highlight w:val="white"/>
        </w:rPr>
        <w:lastRenderedPageBreak/>
        <w:t xml:space="preserve">aver preso visione e di essere a conoscenza del contenuto del </w:t>
      </w:r>
      <w:proofErr w:type="gramStart"/>
      <w:r>
        <w:rPr>
          <w:rFonts w:ascii="Titillium Web" w:eastAsia="Titillium Web" w:hAnsi="Titillium Web" w:cs="Titillium Web"/>
          <w:color w:val="000000"/>
          <w:sz w:val="22"/>
          <w:szCs w:val="22"/>
          <w:highlight w:val="white"/>
        </w:rPr>
        <w:t>predetto</w:t>
      </w:r>
      <w:proofErr w:type="gramEnd"/>
      <w:r>
        <w:rPr>
          <w:rFonts w:ascii="Titillium Web" w:eastAsia="Titillium Web" w:hAnsi="Titillium Web" w:cs="Titillium Web"/>
          <w:color w:val="000000"/>
          <w:sz w:val="22"/>
          <w:szCs w:val="22"/>
          <w:highlight w:val="white"/>
        </w:rPr>
        <w:t xml:space="preserve"> Codice; nelle ipotesi di grave violazione delle </w:t>
      </w:r>
      <w:r>
        <w:rPr>
          <w:rFonts w:ascii="Titillium Web" w:eastAsia="Titillium Web" w:hAnsi="Titillium Web" w:cs="Titillium Web"/>
          <w:sz w:val="22"/>
          <w:szCs w:val="22"/>
          <w:highlight w:val="white"/>
        </w:rPr>
        <w:t>disposizioni</w:t>
      </w:r>
      <w:r>
        <w:rPr>
          <w:rFonts w:ascii="Titillium Web" w:eastAsia="Titillium Web" w:hAnsi="Titillium Web" w:cs="Titillium Web"/>
          <w:color w:val="000000"/>
          <w:sz w:val="22"/>
          <w:szCs w:val="22"/>
          <w:highlight w:val="white"/>
        </w:rPr>
        <w:t xml:space="preserve"> ivi contenute, la stazione appaltante si riserva la facoltà di risolvere il contratto.</w:t>
      </w:r>
    </w:p>
    <w:p w14:paraId="243A7E4C" w14:textId="77777777" w:rsidR="00BC74F4" w:rsidRDefault="007477EA">
      <w:pPr>
        <w:keepNext/>
        <w:widowControl w:val="0"/>
        <w:numPr>
          <w:ilvl w:val="0"/>
          <w:numId w:val="8"/>
        </w:numPr>
        <w:pBdr>
          <w:top w:val="nil"/>
          <w:left w:val="nil"/>
          <w:bottom w:val="nil"/>
          <w:right w:val="nil"/>
          <w:between w:val="nil"/>
        </w:pBdr>
        <w:tabs>
          <w:tab w:val="left" w:pos="284"/>
        </w:tabs>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al rispetto delle disposizioni di cui all’art. 53, comma 16-ter del D.lgs. numero 165/2001 e successive modifiche ed integrazioni in materia di conferimento di incarichi o contratti di lavoro ad ex dipendenti della stazione appaltante pena l’obbligo di restituzione dei compensi illegittimamente percepiti ed accertati ad essi riferiti.</w:t>
      </w:r>
    </w:p>
    <w:p w14:paraId="730BF549" w14:textId="77777777" w:rsidR="00BC74F4" w:rsidRDefault="007477EA">
      <w:pPr>
        <w:keepNext/>
        <w:widowControl w:val="0"/>
        <w:numPr>
          <w:ilvl w:val="0"/>
          <w:numId w:val="8"/>
        </w:numPr>
        <w:pBdr>
          <w:top w:val="nil"/>
          <w:left w:val="nil"/>
          <w:bottom w:val="nil"/>
          <w:right w:val="nil"/>
          <w:between w:val="nil"/>
        </w:pBdr>
        <w:tabs>
          <w:tab w:val="left" w:pos="284"/>
        </w:tabs>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ad eseguire l’appalto nel rispetto del principio “non arrecare danno significativo agli obiettivi ambientali” con valutazione di conformità degli interventi al principio del “</w:t>
      </w:r>
      <w:r>
        <w:rPr>
          <w:rFonts w:ascii="Titillium Web" w:eastAsia="Titillium Web" w:hAnsi="Titillium Web" w:cs="Titillium Web"/>
          <w:i/>
          <w:color w:val="000000"/>
          <w:sz w:val="22"/>
          <w:szCs w:val="22"/>
          <w:highlight w:val="white"/>
        </w:rPr>
        <w:t>Do No Significant Harm</w:t>
      </w:r>
      <w:r>
        <w:rPr>
          <w:rFonts w:ascii="Titillium Web" w:eastAsia="Titillium Web" w:hAnsi="Titillium Web" w:cs="Titillium Web"/>
          <w:color w:val="000000"/>
          <w:sz w:val="22"/>
          <w:szCs w:val="22"/>
          <w:highlight w:val="white"/>
        </w:rPr>
        <w:t>” (DNSH) di cui all’art. 17, Reg. (UE) 2020/852 e secondo quanto definito nella Circolare MEF Circolare MEF 13 ottobre 2022, numero 33 e nella Guida operativa per il rispetto del principio di non arrecare danno significativo all’ambiente (C.d. DNSH) allegata.</w:t>
      </w:r>
    </w:p>
    <w:p w14:paraId="2CCDDCE5" w14:textId="77777777" w:rsidR="00BC74F4" w:rsidRDefault="007477EA">
      <w:pPr>
        <w:keepNext/>
        <w:widowControl w:val="0"/>
        <w:numPr>
          <w:ilvl w:val="0"/>
          <w:numId w:val="8"/>
        </w:numPr>
        <w:pBdr>
          <w:top w:val="nil"/>
          <w:left w:val="nil"/>
          <w:bottom w:val="nil"/>
          <w:right w:val="nil"/>
          <w:between w:val="nil"/>
        </w:pBdr>
        <w:tabs>
          <w:tab w:val="left" w:pos="0"/>
          <w:tab w:val="left" w:pos="284"/>
          <w:tab w:val="left" w:pos="1134"/>
        </w:tabs>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 xml:space="preserve"> conservare e produrre, anche su richiesta dell’autorità competente, tutta la documentazione di monitoraggio e rendicontazione, ivi inclusi i certificati di collaudo e verifica di conformità delle prestazioni rese, per ogni adempimento anche ai fini del finanziamento di cui beneficia l’appalto.</w:t>
      </w:r>
    </w:p>
    <w:p w14:paraId="709FFBE7" w14:textId="77777777" w:rsidR="00BC74F4" w:rsidRDefault="007477EA">
      <w:pPr>
        <w:keepNext/>
        <w:widowControl w:val="0"/>
        <w:numPr>
          <w:ilvl w:val="0"/>
          <w:numId w:val="8"/>
        </w:numPr>
        <w:pBdr>
          <w:top w:val="nil"/>
          <w:left w:val="nil"/>
          <w:bottom w:val="nil"/>
          <w:right w:val="nil"/>
          <w:between w:val="nil"/>
        </w:pBdr>
        <w:tabs>
          <w:tab w:val="left" w:pos="284"/>
        </w:tabs>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nel rispetto delle priorità trasversali del Piano Nazionale di Ripresa e Resilienza volte a garantire pari opportunità generazionali, di genere, e territoriali, a rispettare gli obblighi previsti dal Piano Nazionale di Ripresa e Resilienza e dal D.L. 77/2021 convertito con L. numero 108/2021 “</w:t>
      </w:r>
      <w:r>
        <w:rPr>
          <w:rFonts w:ascii="Titillium Web" w:eastAsia="Titillium Web" w:hAnsi="Titillium Web" w:cs="Titillium Web"/>
          <w:i/>
          <w:color w:val="000000"/>
          <w:sz w:val="22"/>
          <w:szCs w:val="22"/>
          <w:highlight w:val="white"/>
        </w:rPr>
        <w:t>Governance del Piano Nazionale di Ripresa e Resilienza e prime misure di rafforzamento delle strutture amministrative e di accelerazione e snellimento delle procedure”.</w:t>
      </w:r>
    </w:p>
    <w:p w14:paraId="448FCE65" w14:textId="77777777" w:rsidR="00BC74F4" w:rsidRDefault="007477EA">
      <w:pPr>
        <w:keepNext/>
        <w:widowControl w:val="0"/>
        <w:numPr>
          <w:ilvl w:val="0"/>
          <w:numId w:val="8"/>
        </w:numPr>
        <w:pBdr>
          <w:top w:val="nil"/>
          <w:left w:val="nil"/>
          <w:bottom w:val="nil"/>
          <w:right w:val="nil"/>
          <w:between w:val="nil"/>
        </w:pBdr>
        <w:tabs>
          <w:tab w:val="left" w:pos="284"/>
        </w:tabs>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assicurare una quota pari ad almeno il 30% delle assunzioni necessarie per l’esecuzione del contratto o per la realizzazione di attività ad essa connesse o strumentali, destinata sia all’occupazione giovanile sia all’occupazione femminile. A tal fine, l’OPERATORE ECONOMICO dovrà produrre, su richiesta, apposita dichiarazione contenente le informazioni relative alle eventuali assunzioni effettuate durante il periodo di vigenza del Contratto con indicazione del numero di persone assunte e relativa indicazione</w:t>
      </w:r>
      <w:r>
        <w:rPr>
          <w:rFonts w:ascii="Titillium Web" w:eastAsia="Titillium Web" w:hAnsi="Titillium Web" w:cs="Titillium Web"/>
          <w:color w:val="000000"/>
          <w:sz w:val="22"/>
          <w:szCs w:val="22"/>
          <w:highlight w:val="white"/>
        </w:rPr>
        <w:t xml:space="preserve"> di età e genere. La violazione del presente obbligo determina l’applicazione della penale di cui al successivo articolo “Penali”, fatta salva la possibilità di deroga;</w:t>
      </w:r>
    </w:p>
    <w:p w14:paraId="5BEDCDBC" w14:textId="77777777" w:rsidR="00BC74F4" w:rsidRDefault="007477EA">
      <w:pPr>
        <w:keepNext/>
        <w:widowControl w:val="0"/>
        <w:numPr>
          <w:ilvl w:val="0"/>
          <w:numId w:val="8"/>
        </w:numPr>
        <w:pBdr>
          <w:top w:val="nil"/>
          <w:left w:val="nil"/>
          <w:bottom w:val="nil"/>
          <w:right w:val="nil"/>
          <w:between w:val="nil"/>
        </w:pBdr>
        <w:tabs>
          <w:tab w:val="left" w:pos="284"/>
        </w:tabs>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b/>
          <w:color w:val="C00000"/>
          <w:sz w:val="22"/>
          <w:szCs w:val="22"/>
          <w:highlight w:val="white"/>
        </w:rPr>
        <w:t xml:space="preserve">[In caso di operatore con un numero di dipendenti pari o superiore a 15 ed inferiore a 50 </w:t>
      </w:r>
      <w:r>
        <w:rPr>
          <w:rFonts w:ascii="Titillium Web" w:eastAsia="Titillium Web" w:hAnsi="Titillium Web" w:cs="Titillium Web"/>
          <w:sz w:val="22"/>
          <w:szCs w:val="22"/>
          <w:highlight w:val="white"/>
        </w:rPr>
        <w:t xml:space="preserve">ai </w:t>
      </w:r>
      <w:r>
        <w:rPr>
          <w:rFonts w:ascii="Titillium Web" w:eastAsia="Titillium Web" w:hAnsi="Titillium Web" w:cs="Titillium Web"/>
          <w:color w:val="000000"/>
          <w:sz w:val="22"/>
          <w:szCs w:val="22"/>
          <w:highlight w:val="white"/>
        </w:rPr>
        <w:t xml:space="preserve">sensi dell’articolo 100, comma 2 del Codice e nel rispetto dell’art.47, commi 3 e 3bis, della L. numero </w:t>
      </w:r>
      <w:r>
        <w:rPr>
          <w:rFonts w:ascii="Titillium Web" w:eastAsia="Titillium Web" w:hAnsi="Titillium Web" w:cs="Titillium Web"/>
          <w:color w:val="000000"/>
          <w:sz w:val="22"/>
          <w:szCs w:val="22"/>
          <w:highlight w:val="white"/>
        </w:rPr>
        <w:lastRenderedPageBreak/>
        <w:t xml:space="preserve">108/2021, l’operatore si impegna a: </w:t>
      </w:r>
    </w:p>
    <w:p w14:paraId="4CFA855B" w14:textId="77777777" w:rsidR="00BC74F4" w:rsidRDefault="007477EA">
      <w:pPr>
        <w:keepNext/>
        <w:widowControl w:val="0"/>
        <w:numPr>
          <w:ilvl w:val="1"/>
          <w:numId w:val="5"/>
        </w:numPr>
        <w:pBdr>
          <w:top w:val="nil"/>
          <w:left w:val="nil"/>
          <w:bottom w:val="nil"/>
          <w:right w:val="nil"/>
          <w:between w:val="nil"/>
        </w:pBdr>
        <w:tabs>
          <w:tab w:val="left" w:pos="284"/>
        </w:tabs>
        <w:spacing w:line="276" w:lineRule="auto"/>
        <w:ind w:left="0" w:right="-1134"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ab/>
      </w:r>
      <w:r>
        <w:rPr>
          <w:rFonts w:ascii="Titillium Web" w:eastAsia="Titillium Web" w:hAnsi="Titillium Web" w:cs="Titillium Web"/>
          <w:color w:val="000000"/>
          <w:sz w:val="22"/>
          <w:szCs w:val="22"/>
          <w:highlight w:val="white"/>
        </w:rPr>
        <w:t>a consegnare ad INAF entro sei mesi dalla conclusione del contratto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rela</w:t>
      </w:r>
      <w:r>
        <w:rPr>
          <w:rFonts w:ascii="Titillium Web" w:eastAsia="Titillium Web" w:hAnsi="Titillium Web" w:cs="Titillium Web"/>
          <w:color w:val="000000"/>
          <w:sz w:val="22"/>
          <w:szCs w:val="22"/>
          <w:highlight w:val="white"/>
        </w:rPr>
        <w:t>zione di cui al primo periodo è trasmessa alle rappresentanze sindacali aziendali e alla consigliera e al consigliere regionale di parità. La violazione di tale obbligo determina l’applicazione della penale di cui al successivo articolo “Penali”, nonché l’impossibilità di partecipare, in forma singola ovvero in RTI, per un periodo di dodici mesi, ad ulteriori procedure di affidamento afferenti agli investimenti pubblici finanziati in tutto o in parte, con le risorse di cui all’art. 47 al comma 1 del DL nume</w:t>
      </w:r>
      <w:r>
        <w:rPr>
          <w:rFonts w:ascii="Titillium Web" w:eastAsia="Titillium Web" w:hAnsi="Titillium Web" w:cs="Titillium Web"/>
          <w:color w:val="000000"/>
          <w:sz w:val="22"/>
          <w:szCs w:val="22"/>
          <w:highlight w:val="white"/>
        </w:rPr>
        <w:t xml:space="preserve">ro 77/2021. </w:t>
      </w:r>
    </w:p>
    <w:p w14:paraId="41DAC8A7" w14:textId="77777777" w:rsidR="00BC74F4" w:rsidRDefault="007477EA">
      <w:pPr>
        <w:keepNext/>
        <w:widowControl w:val="0"/>
        <w:numPr>
          <w:ilvl w:val="1"/>
          <w:numId w:val="5"/>
        </w:numPr>
        <w:pBdr>
          <w:top w:val="nil"/>
          <w:left w:val="nil"/>
          <w:bottom w:val="nil"/>
          <w:right w:val="nil"/>
          <w:between w:val="nil"/>
        </w:pBdr>
        <w:tabs>
          <w:tab w:val="left" w:pos="284"/>
        </w:tabs>
        <w:spacing w:line="276" w:lineRule="auto"/>
        <w:ind w:left="0" w:right="-1134"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 xml:space="preserve"> </w:t>
      </w:r>
      <w:r>
        <w:rPr>
          <w:rFonts w:ascii="Titillium Web" w:eastAsia="Titillium Web" w:hAnsi="Titillium Web" w:cs="Titillium Web"/>
          <w:color w:val="000000"/>
          <w:sz w:val="22"/>
          <w:szCs w:val="22"/>
          <w:highlight w:val="white"/>
        </w:rPr>
        <w:tab/>
        <w:t>a consegnare, entro sei mesi dalla conclusione del contratto una relazione che attesti di essere in regola con le norme che disciplinano il diritto al lavoro delle persone con disabilità, nonché una relazione che chiarisca l’avvenuto assolvimento degli obblighi previsti dalla legge 68/99 ed illustri le eventuali sanzioni ed i provvedimenti imposti nel triennio precedente la data di scadenza per la presentazione delle offerte. Tale relazione deve essere trasmessa anche alle rappresentanze sindacali. La viol</w:t>
      </w:r>
      <w:r>
        <w:rPr>
          <w:rFonts w:ascii="Titillium Web" w:eastAsia="Titillium Web" w:hAnsi="Titillium Web" w:cs="Titillium Web"/>
          <w:color w:val="000000"/>
          <w:sz w:val="22"/>
          <w:szCs w:val="22"/>
          <w:highlight w:val="white"/>
        </w:rPr>
        <w:t>azione di tale obbligo determina l’applicazione della penale di cui al successivo articolo “Penali”.</w:t>
      </w:r>
      <w:r>
        <w:rPr>
          <w:rFonts w:ascii="Titillium Web" w:eastAsia="Titillium Web" w:hAnsi="Titillium Web" w:cs="Titillium Web"/>
          <w:b/>
          <w:color w:val="C00000"/>
          <w:sz w:val="22"/>
          <w:szCs w:val="22"/>
          <w:highlight w:val="white"/>
        </w:rPr>
        <w:t>]</w:t>
      </w:r>
    </w:p>
    <w:p w14:paraId="01508B49" w14:textId="77777777" w:rsidR="00BC74F4" w:rsidRDefault="00BC74F4">
      <w:pPr>
        <w:keepNext/>
        <w:widowControl w:val="0"/>
        <w:pBdr>
          <w:top w:val="nil"/>
          <w:left w:val="nil"/>
          <w:bottom w:val="nil"/>
          <w:right w:val="nil"/>
          <w:between w:val="nil"/>
        </w:pBdr>
        <w:tabs>
          <w:tab w:val="left" w:pos="284"/>
        </w:tabs>
        <w:spacing w:line="276" w:lineRule="auto"/>
        <w:ind w:left="0" w:right="-1220" w:hanging="2"/>
        <w:jc w:val="both"/>
        <w:rPr>
          <w:rFonts w:ascii="Titillium Web" w:eastAsia="Titillium Web" w:hAnsi="Titillium Web" w:cs="Titillium Web"/>
          <w:b/>
          <w:sz w:val="22"/>
          <w:szCs w:val="22"/>
          <w:highlight w:val="white"/>
        </w:rPr>
      </w:pPr>
    </w:p>
    <w:p w14:paraId="09FC101E" w14:textId="77777777" w:rsidR="00BC74F4" w:rsidRDefault="007477EA">
      <w:pPr>
        <w:keepNext/>
        <w:widowControl w:val="0"/>
        <w:pBdr>
          <w:top w:val="nil"/>
          <w:left w:val="nil"/>
          <w:bottom w:val="nil"/>
          <w:right w:val="nil"/>
          <w:between w:val="nil"/>
        </w:pBdr>
        <w:tabs>
          <w:tab w:val="left" w:pos="426"/>
        </w:tabs>
        <w:spacing w:line="276" w:lineRule="auto"/>
        <w:ind w:left="0" w:right="-1220" w:hanging="2"/>
        <w:jc w:val="center"/>
        <w:rPr>
          <w:rFonts w:ascii="Titillium Web" w:eastAsia="Titillium Web" w:hAnsi="Titillium Web" w:cs="Titillium Web"/>
          <w:b/>
          <w:color w:val="000000"/>
          <w:sz w:val="22"/>
          <w:szCs w:val="22"/>
          <w:highlight w:val="white"/>
        </w:rPr>
      </w:pPr>
      <w:r>
        <w:rPr>
          <w:rFonts w:ascii="Titillium Web" w:eastAsia="Titillium Web" w:hAnsi="Titillium Web" w:cs="Titillium Web"/>
          <w:b/>
          <w:color w:val="000000"/>
          <w:sz w:val="22"/>
          <w:szCs w:val="22"/>
          <w:highlight w:val="white"/>
        </w:rPr>
        <w:t xml:space="preserve">Art.  </w:t>
      </w:r>
      <w:r>
        <w:rPr>
          <w:rFonts w:ascii="Titillium Web" w:eastAsia="Titillium Web" w:hAnsi="Titillium Web" w:cs="Titillium Web"/>
          <w:b/>
          <w:color w:val="000000"/>
          <w:sz w:val="22"/>
          <w:szCs w:val="22"/>
          <w:highlight w:val="white"/>
          <w:u w:val="single"/>
        </w:rPr>
        <w:t>Sostenibilità energetica ed ambientale</w:t>
      </w:r>
    </w:p>
    <w:p w14:paraId="260302E7" w14:textId="77777777" w:rsidR="00BC74F4" w:rsidRDefault="007477EA">
      <w:pPr>
        <w:keepNext/>
        <w:widowControl w:val="0"/>
        <w:pBdr>
          <w:top w:val="nil"/>
          <w:left w:val="nil"/>
          <w:bottom w:val="nil"/>
          <w:right w:val="nil"/>
          <w:between w:val="nil"/>
        </w:pBdr>
        <w:tabs>
          <w:tab w:val="left" w:pos="426"/>
        </w:tabs>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L’Operatore economico</w:t>
      </w:r>
      <w:r>
        <w:rPr>
          <w:rFonts w:ascii="Titillium Web" w:eastAsia="Titillium Web" w:hAnsi="Titillium Web" w:cs="Titillium Web"/>
          <w:sz w:val="22"/>
          <w:szCs w:val="22"/>
          <w:highlight w:val="white"/>
        </w:rPr>
        <w:t xml:space="preserve"> </w:t>
      </w:r>
      <w:r>
        <w:rPr>
          <w:rFonts w:ascii="Titillium Web" w:eastAsia="Titillium Web" w:hAnsi="Titillium Web" w:cs="Titillium Web"/>
          <w:color w:val="000000"/>
          <w:sz w:val="22"/>
          <w:szCs w:val="22"/>
          <w:highlight w:val="white"/>
        </w:rPr>
        <w:t xml:space="preserve">si impegna ad effettuare le prestazioni oggetto del contratto in </w:t>
      </w:r>
      <w:r>
        <w:rPr>
          <w:rFonts w:ascii="Titillium Web" w:eastAsia="Titillium Web" w:hAnsi="Titillium Web" w:cs="Titillium Web"/>
          <w:color w:val="000000"/>
          <w:sz w:val="22"/>
          <w:szCs w:val="22"/>
          <w:highlight w:val="white"/>
        </w:rPr>
        <w:t>conformità ai criteri ambientali minimi adottati dal Ministero dell’Ambiente nell’ambito del Piano d’azione per la sostenibilità ambientale dei consumi nel settore della pubblica amministrazione.</w:t>
      </w:r>
    </w:p>
    <w:p w14:paraId="5C931924" w14:textId="77777777" w:rsidR="00BC74F4" w:rsidRDefault="00BC74F4">
      <w:pPr>
        <w:keepNext/>
        <w:widowControl w:val="0"/>
        <w:pBdr>
          <w:top w:val="nil"/>
          <w:left w:val="nil"/>
          <w:bottom w:val="nil"/>
          <w:right w:val="nil"/>
          <w:between w:val="nil"/>
        </w:pBdr>
        <w:tabs>
          <w:tab w:val="left" w:pos="426"/>
        </w:tabs>
        <w:spacing w:line="276" w:lineRule="auto"/>
        <w:ind w:left="0" w:right="-1220" w:hanging="2"/>
        <w:jc w:val="both"/>
        <w:rPr>
          <w:rFonts w:ascii="Titillium Web" w:eastAsia="Titillium Web" w:hAnsi="Titillium Web" w:cs="Titillium Web"/>
          <w:color w:val="000000"/>
          <w:sz w:val="22"/>
          <w:szCs w:val="22"/>
          <w:highlight w:val="white"/>
        </w:rPr>
      </w:pPr>
    </w:p>
    <w:p w14:paraId="12386BA3" w14:textId="77777777" w:rsidR="00BC74F4" w:rsidRDefault="007477EA">
      <w:pPr>
        <w:keepNext/>
        <w:widowControl w:val="0"/>
        <w:pBdr>
          <w:top w:val="nil"/>
          <w:left w:val="nil"/>
          <w:bottom w:val="nil"/>
          <w:right w:val="nil"/>
          <w:between w:val="nil"/>
        </w:pBdr>
        <w:tabs>
          <w:tab w:val="left" w:pos="426"/>
        </w:tabs>
        <w:spacing w:line="276" w:lineRule="auto"/>
        <w:ind w:left="0" w:right="-1220" w:hanging="2"/>
        <w:jc w:val="center"/>
        <w:rPr>
          <w:rFonts w:ascii="Titillium Web" w:eastAsia="Titillium Web" w:hAnsi="Titillium Web" w:cs="Titillium Web"/>
          <w:b/>
          <w:color w:val="000000"/>
          <w:sz w:val="22"/>
          <w:szCs w:val="22"/>
          <w:highlight w:val="white"/>
        </w:rPr>
      </w:pPr>
      <w:r>
        <w:rPr>
          <w:rFonts w:ascii="Titillium Web" w:eastAsia="Titillium Web" w:hAnsi="Titillium Web" w:cs="Titillium Web"/>
          <w:b/>
          <w:color w:val="000000"/>
          <w:sz w:val="22"/>
          <w:szCs w:val="22"/>
          <w:highlight w:val="white"/>
        </w:rPr>
        <w:t xml:space="preserve">Art.  </w:t>
      </w:r>
      <w:r>
        <w:rPr>
          <w:rFonts w:ascii="Titillium Web" w:eastAsia="Titillium Web" w:hAnsi="Titillium Web" w:cs="Titillium Web"/>
          <w:b/>
          <w:color w:val="000000"/>
          <w:sz w:val="22"/>
          <w:szCs w:val="22"/>
          <w:highlight w:val="white"/>
          <w:u w:val="single"/>
        </w:rPr>
        <w:t>Modalità di esecuzione</w:t>
      </w:r>
    </w:p>
    <w:p w14:paraId="1985F714" w14:textId="77777777" w:rsidR="00BC74F4" w:rsidRDefault="007477EA">
      <w:pPr>
        <w:keepNext/>
        <w:widowControl w:val="0"/>
        <w:pBdr>
          <w:top w:val="nil"/>
          <w:left w:val="nil"/>
          <w:bottom w:val="nil"/>
          <w:right w:val="nil"/>
          <w:between w:val="nil"/>
        </w:pBdr>
        <w:tabs>
          <w:tab w:val="left" w:pos="426"/>
        </w:tabs>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Le condizioni e le modalità di esecuzione dell’appalto saranno esclusivamente quelle elencate nei documenti relativi al presente</w:t>
      </w:r>
      <w:r>
        <w:rPr>
          <w:rFonts w:ascii="Titillium Web" w:eastAsia="Titillium Web" w:hAnsi="Titillium Web" w:cs="Titillium Web"/>
          <w:sz w:val="22"/>
          <w:szCs w:val="22"/>
          <w:highlight w:val="white"/>
        </w:rPr>
        <w:t xml:space="preserve"> appalto</w:t>
      </w:r>
      <w:r>
        <w:rPr>
          <w:rFonts w:ascii="Titillium Web" w:eastAsia="Titillium Web" w:hAnsi="Titillium Web" w:cs="Titillium Web"/>
          <w:color w:val="000000"/>
          <w:sz w:val="22"/>
          <w:szCs w:val="22"/>
          <w:highlight w:val="white"/>
        </w:rPr>
        <w:t>, accettati dall’OPERATORE ECONOMICO, che si impegna formalmente ad eseguire l’appalto alle condizioni e con le modalità previste nei citati documenti.</w:t>
      </w:r>
    </w:p>
    <w:p w14:paraId="436469D8" w14:textId="77777777" w:rsidR="00BC74F4" w:rsidRDefault="007477EA">
      <w:pPr>
        <w:keepNext/>
        <w:widowControl w:val="0"/>
        <w:pBdr>
          <w:top w:val="nil"/>
          <w:left w:val="nil"/>
          <w:bottom w:val="nil"/>
          <w:right w:val="nil"/>
          <w:between w:val="nil"/>
        </w:pBdr>
        <w:tabs>
          <w:tab w:val="left" w:pos="426"/>
        </w:tabs>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 xml:space="preserve">L’erogazione della </w:t>
      </w:r>
      <w:r>
        <w:rPr>
          <w:rFonts w:ascii="Titillium Web" w:eastAsia="Titillium Web" w:hAnsi="Titillium Web" w:cs="Titillium Web"/>
          <w:sz w:val="22"/>
          <w:szCs w:val="22"/>
          <w:highlight w:val="white"/>
        </w:rPr>
        <w:t>fornitura/servizio</w:t>
      </w:r>
      <w:r>
        <w:rPr>
          <w:rFonts w:ascii="Titillium Web" w:eastAsia="Titillium Web" w:hAnsi="Titillium Web" w:cs="Titillium Web"/>
          <w:color w:val="000000"/>
          <w:sz w:val="22"/>
          <w:szCs w:val="22"/>
          <w:highlight w:val="white"/>
        </w:rPr>
        <w:t xml:space="preserve"> si intende comprensiva di ogni onere e spesa, nessuno escluso.</w:t>
      </w:r>
    </w:p>
    <w:p w14:paraId="7E3D6A6B" w14:textId="77777777" w:rsidR="00BC74F4" w:rsidRDefault="007477EA">
      <w:pPr>
        <w:keepNext/>
        <w:widowControl w:val="0"/>
        <w:pBdr>
          <w:top w:val="nil"/>
          <w:left w:val="nil"/>
          <w:bottom w:val="nil"/>
          <w:right w:val="nil"/>
          <w:between w:val="nil"/>
        </w:pBdr>
        <w:tabs>
          <w:tab w:val="left" w:pos="426"/>
        </w:tabs>
        <w:spacing w:line="276" w:lineRule="auto"/>
        <w:ind w:left="0" w:right="-1220" w:hanging="2"/>
        <w:jc w:val="both"/>
        <w:rPr>
          <w:rFonts w:ascii="Titillium Web" w:eastAsia="Titillium Web" w:hAnsi="Titillium Web" w:cs="Titillium Web"/>
          <w:sz w:val="22"/>
          <w:szCs w:val="22"/>
          <w:highlight w:val="white"/>
        </w:rPr>
      </w:pPr>
      <w:r>
        <w:rPr>
          <w:rFonts w:ascii="Titillium Web" w:eastAsia="Titillium Web" w:hAnsi="Titillium Web" w:cs="Titillium Web"/>
          <w:color w:val="000000"/>
          <w:sz w:val="22"/>
          <w:szCs w:val="22"/>
          <w:highlight w:val="white"/>
        </w:rPr>
        <w:t xml:space="preserve">L’OPERATORE ECONOMICO si obbliga a rispettare tutte le indicazioni relative alla buona e corretta </w:t>
      </w:r>
      <w:r>
        <w:rPr>
          <w:rFonts w:ascii="Titillium Web" w:eastAsia="Titillium Web" w:hAnsi="Titillium Web" w:cs="Titillium Web"/>
          <w:color w:val="000000"/>
          <w:sz w:val="22"/>
          <w:szCs w:val="22"/>
          <w:highlight w:val="white"/>
        </w:rPr>
        <w:lastRenderedPageBreak/>
        <w:t xml:space="preserve">esecuzione contrattuale che dovessero essere impartite dalla </w:t>
      </w:r>
      <w:r>
        <w:rPr>
          <w:rFonts w:ascii="Titillium Web" w:eastAsia="Titillium Web" w:hAnsi="Titillium Web" w:cs="Titillium Web"/>
          <w:sz w:val="22"/>
          <w:szCs w:val="22"/>
          <w:highlight w:val="white"/>
        </w:rPr>
        <w:t>S</w:t>
      </w:r>
      <w:r>
        <w:rPr>
          <w:rFonts w:ascii="Titillium Web" w:eastAsia="Titillium Web" w:hAnsi="Titillium Web" w:cs="Titillium Web"/>
          <w:color w:val="000000"/>
          <w:sz w:val="22"/>
          <w:szCs w:val="22"/>
          <w:highlight w:val="white"/>
        </w:rPr>
        <w:t xml:space="preserve">tazione </w:t>
      </w:r>
      <w:r>
        <w:rPr>
          <w:rFonts w:ascii="Titillium Web" w:eastAsia="Titillium Web" w:hAnsi="Titillium Web" w:cs="Titillium Web"/>
          <w:sz w:val="22"/>
          <w:szCs w:val="22"/>
          <w:highlight w:val="white"/>
        </w:rPr>
        <w:t>A</w:t>
      </w:r>
      <w:r>
        <w:rPr>
          <w:rFonts w:ascii="Titillium Web" w:eastAsia="Titillium Web" w:hAnsi="Titillium Web" w:cs="Titillium Web"/>
          <w:color w:val="000000"/>
          <w:sz w:val="22"/>
          <w:szCs w:val="22"/>
          <w:highlight w:val="white"/>
        </w:rPr>
        <w:t>ppaltante</w:t>
      </w:r>
      <w:r>
        <w:rPr>
          <w:rFonts w:ascii="Titillium Web" w:eastAsia="Titillium Web" w:hAnsi="Titillium Web" w:cs="Titillium Web"/>
          <w:sz w:val="22"/>
          <w:szCs w:val="22"/>
          <w:highlight w:val="white"/>
        </w:rPr>
        <w:t>.</w:t>
      </w:r>
    </w:p>
    <w:p w14:paraId="15287ABE" w14:textId="77777777" w:rsidR="00BC74F4" w:rsidRDefault="00BC74F4">
      <w:pPr>
        <w:keepNext/>
        <w:widowControl w:val="0"/>
        <w:pBdr>
          <w:top w:val="nil"/>
          <w:left w:val="nil"/>
          <w:bottom w:val="nil"/>
          <w:right w:val="nil"/>
          <w:between w:val="nil"/>
        </w:pBdr>
        <w:tabs>
          <w:tab w:val="left" w:pos="426"/>
        </w:tabs>
        <w:spacing w:line="276" w:lineRule="auto"/>
        <w:ind w:left="0" w:right="-1220" w:hanging="2"/>
        <w:jc w:val="both"/>
        <w:rPr>
          <w:rFonts w:ascii="Titillium Web" w:eastAsia="Titillium Web" w:hAnsi="Titillium Web" w:cs="Titillium Web"/>
          <w:sz w:val="22"/>
          <w:szCs w:val="22"/>
          <w:highlight w:val="white"/>
        </w:rPr>
      </w:pPr>
    </w:p>
    <w:p w14:paraId="4CF985D7" w14:textId="77777777" w:rsidR="00BC74F4" w:rsidRDefault="007477EA">
      <w:pPr>
        <w:keepNext/>
        <w:widowControl w:val="0"/>
        <w:pBdr>
          <w:top w:val="nil"/>
          <w:left w:val="nil"/>
          <w:bottom w:val="nil"/>
          <w:right w:val="nil"/>
          <w:between w:val="nil"/>
        </w:pBdr>
        <w:tabs>
          <w:tab w:val="left" w:pos="426"/>
          <w:tab w:val="left" w:pos="709"/>
          <w:tab w:val="left" w:pos="851"/>
        </w:tabs>
        <w:spacing w:line="276" w:lineRule="auto"/>
        <w:ind w:left="0" w:right="-1220" w:hanging="2"/>
        <w:jc w:val="center"/>
        <w:rPr>
          <w:rFonts w:ascii="Titillium Web" w:eastAsia="Titillium Web" w:hAnsi="Titillium Web" w:cs="Titillium Web"/>
          <w:b/>
          <w:color w:val="000000"/>
          <w:sz w:val="22"/>
          <w:szCs w:val="22"/>
          <w:highlight w:val="white"/>
        </w:rPr>
      </w:pPr>
      <w:r>
        <w:rPr>
          <w:rFonts w:ascii="Titillium Web" w:eastAsia="Titillium Web" w:hAnsi="Titillium Web" w:cs="Titillium Web"/>
          <w:b/>
          <w:color w:val="000000"/>
          <w:sz w:val="22"/>
          <w:szCs w:val="22"/>
          <w:highlight w:val="white"/>
        </w:rPr>
        <w:t xml:space="preserve">Art.  </w:t>
      </w:r>
      <w:r>
        <w:rPr>
          <w:rFonts w:ascii="Titillium Web" w:eastAsia="Titillium Web" w:hAnsi="Titillium Web" w:cs="Titillium Web"/>
          <w:b/>
          <w:color w:val="000000"/>
          <w:sz w:val="22"/>
          <w:szCs w:val="22"/>
          <w:highlight w:val="white"/>
          <w:u w:val="single"/>
        </w:rPr>
        <w:t>Subappalto</w:t>
      </w:r>
    </w:p>
    <w:p w14:paraId="1B907980" w14:textId="77777777" w:rsidR="00BC74F4" w:rsidRDefault="007477EA">
      <w:pPr>
        <w:keepNext/>
        <w:widowControl w:val="0"/>
        <w:pBdr>
          <w:top w:val="nil"/>
          <w:left w:val="nil"/>
          <w:bottom w:val="nil"/>
          <w:right w:val="nil"/>
          <w:between w:val="nil"/>
        </w:pBdr>
        <w:tabs>
          <w:tab w:val="left" w:pos="426"/>
          <w:tab w:val="left" w:pos="709"/>
          <w:tab w:val="left" w:pos="851"/>
        </w:tabs>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 xml:space="preserve"> Ai sensi </w:t>
      </w:r>
      <w:r>
        <w:rPr>
          <w:rFonts w:ascii="Titillium Web" w:eastAsia="Titillium Web" w:hAnsi="Titillium Web" w:cs="Titillium Web"/>
          <w:sz w:val="22"/>
          <w:szCs w:val="22"/>
          <w:highlight w:val="white"/>
        </w:rPr>
        <w:t xml:space="preserve">del Decreto legislativo 31 marzo 2023, n. 36 il </w:t>
      </w:r>
      <w:r>
        <w:rPr>
          <w:rFonts w:ascii="Titillium Web" w:eastAsia="Titillium Web" w:hAnsi="Titillium Web" w:cs="Titillium Web"/>
          <w:color w:val="000000"/>
          <w:sz w:val="22"/>
          <w:szCs w:val="22"/>
          <w:highlight w:val="white"/>
        </w:rPr>
        <w:t xml:space="preserve">subappalto è consentito per </w:t>
      </w:r>
      <w:r>
        <w:rPr>
          <w:rFonts w:ascii="Titillium Web" w:eastAsia="Titillium Web" w:hAnsi="Titillium Web" w:cs="Titillium Web"/>
          <w:sz w:val="22"/>
          <w:szCs w:val="22"/>
          <w:highlight w:val="white"/>
        </w:rPr>
        <w:t>___________</w:t>
      </w:r>
      <w:r>
        <w:rPr>
          <w:rFonts w:ascii="Titillium Web" w:eastAsia="Titillium Web" w:hAnsi="Titillium Web" w:cs="Titillium Web"/>
          <w:color w:val="000000"/>
          <w:sz w:val="22"/>
          <w:szCs w:val="22"/>
          <w:highlight w:val="white"/>
        </w:rPr>
        <w:t xml:space="preserve"> e previo consenso della stazione appaltante.</w:t>
      </w:r>
    </w:p>
    <w:p w14:paraId="1091E8A9" w14:textId="3E8864AB" w:rsidR="00BC74F4" w:rsidRDefault="007477EA">
      <w:pPr>
        <w:keepNext/>
        <w:widowControl w:val="0"/>
        <w:pBdr>
          <w:top w:val="nil"/>
          <w:left w:val="nil"/>
          <w:bottom w:val="nil"/>
          <w:right w:val="nil"/>
          <w:between w:val="nil"/>
        </w:pBdr>
        <w:tabs>
          <w:tab w:val="left" w:pos="426"/>
          <w:tab w:val="left" w:pos="709"/>
          <w:tab w:val="left" w:pos="851"/>
        </w:tabs>
        <w:spacing w:line="276" w:lineRule="auto"/>
        <w:ind w:left="0" w:right="-1220" w:hanging="2"/>
        <w:jc w:val="both"/>
        <w:rPr>
          <w:rFonts w:ascii="Titillium Web" w:eastAsia="Titillium Web" w:hAnsi="Titillium Web" w:cs="Titillium Web"/>
          <w:sz w:val="22"/>
          <w:szCs w:val="22"/>
          <w:highlight w:val="white"/>
        </w:rPr>
      </w:pPr>
      <w:r>
        <w:rPr>
          <w:rFonts w:ascii="Titillium Web" w:eastAsia="Titillium Web" w:hAnsi="Titillium Web" w:cs="Titillium Web"/>
          <w:color w:val="000000"/>
          <w:sz w:val="22"/>
          <w:szCs w:val="22"/>
          <w:highlight w:val="white"/>
        </w:rPr>
        <w:t xml:space="preserve">I pagamenti ai subappaltatori saranno effettuati dall’appaltatore che è obbligato a trasmettere alla Sezione ___________________ / alla Struttura di ___________________ di INAF entro 20 giorni dalla data di ciascun pagamento, copia delle fatture quietanzate. Il contratto di subappalto dovrà essere depositato almeno 20 (venti) giorni prima della data di effettivo inizio dell’esecuzione delle prestazioni oggetto della fornitura unitamente alle </w:t>
      </w:r>
      <w:r w:rsidR="00877927">
        <w:rPr>
          <w:rFonts w:ascii="Titillium Web" w:eastAsia="Titillium Web" w:hAnsi="Titillium Web" w:cs="Titillium Web"/>
          <w:color w:val="000000"/>
          <w:sz w:val="22"/>
          <w:szCs w:val="22"/>
          <w:highlight w:val="white"/>
        </w:rPr>
        <w:t>dichiarazioni del</w:t>
      </w:r>
      <w:r>
        <w:rPr>
          <w:rFonts w:ascii="Titillium Web" w:eastAsia="Titillium Web" w:hAnsi="Titillium Web" w:cs="Titillium Web"/>
          <w:color w:val="000000"/>
          <w:sz w:val="22"/>
          <w:szCs w:val="22"/>
          <w:highlight w:val="white"/>
        </w:rPr>
        <w:t xml:space="preserve"> subappaltatore </w:t>
      </w:r>
      <w:proofErr w:type="gramStart"/>
      <w:r>
        <w:rPr>
          <w:rFonts w:ascii="Titillium Web" w:eastAsia="Titillium Web" w:hAnsi="Titillium Web" w:cs="Titillium Web"/>
          <w:color w:val="000000"/>
          <w:sz w:val="22"/>
          <w:szCs w:val="22"/>
          <w:highlight w:val="white"/>
        </w:rPr>
        <w:t>attestanti  il</w:t>
      </w:r>
      <w:proofErr w:type="gramEnd"/>
      <w:r>
        <w:rPr>
          <w:rFonts w:ascii="Titillium Web" w:eastAsia="Titillium Web" w:hAnsi="Titillium Web" w:cs="Titillium Web"/>
          <w:color w:val="000000"/>
          <w:sz w:val="22"/>
          <w:szCs w:val="22"/>
          <w:highlight w:val="white"/>
        </w:rPr>
        <w:t xml:space="preserve"> possesso dei requisiti di qualificazione prescritti dal</w:t>
      </w:r>
      <w:r>
        <w:rPr>
          <w:rFonts w:ascii="Titillium Web" w:eastAsia="Titillium Web" w:hAnsi="Titillium Web" w:cs="Titillium Web"/>
          <w:sz w:val="22"/>
          <w:szCs w:val="22"/>
          <w:highlight w:val="white"/>
        </w:rPr>
        <w:t xml:space="preserve">la legge </w:t>
      </w:r>
      <w:r>
        <w:rPr>
          <w:rFonts w:ascii="Titillium Web" w:eastAsia="Titillium Web" w:hAnsi="Titillium Web" w:cs="Titillium Web"/>
          <w:color w:val="000000"/>
          <w:sz w:val="22"/>
          <w:szCs w:val="22"/>
          <w:highlight w:val="white"/>
        </w:rPr>
        <w:t xml:space="preserve">in relazione alla prestazione subappaltata e l’assenza dei motivi di esclusione di cui </w:t>
      </w:r>
      <w:r w:rsidR="00877927" w:rsidRPr="00877927">
        <w:rPr>
          <w:rFonts w:ascii="Titillium Web" w:eastAsia="Titillium Web" w:hAnsi="Titillium Web" w:cs="Titillium Web"/>
          <w:color w:val="000000"/>
          <w:sz w:val="22"/>
          <w:szCs w:val="22"/>
        </w:rPr>
        <w:t>al Codice dei Contratti. Ai fini del rispetto di quanto indicato all’art. 119 comma 11 del D. Lgs. 36/2023, l’impresa è obbligata a trasmettere, tempestivamente, una comunicazione che indichi la parte dei servizi/forniture eseguiti dai subappaltatori o dai cottimisti, spedicando i relativi importi e la proposta motivata di pagamento.</w:t>
      </w:r>
    </w:p>
    <w:p w14:paraId="489767F9" w14:textId="77777777" w:rsidR="00BC74F4" w:rsidRDefault="007477EA">
      <w:pPr>
        <w:keepNext/>
        <w:widowControl w:val="0"/>
        <w:pBdr>
          <w:top w:val="nil"/>
          <w:left w:val="nil"/>
          <w:bottom w:val="nil"/>
          <w:right w:val="nil"/>
          <w:between w:val="nil"/>
        </w:pBdr>
        <w:tabs>
          <w:tab w:val="left" w:pos="426"/>
          <w:tab w:val="left" w:pos="709"/>
          <w:tab w:val="left" w:pos="851"/>
        </w:tabs>
        <w:spacing w:line="276" w:lineRule="auto"/>
        <w:ind w:left="0" w:right="-1220" w:hanging="2"/>
        <w:jc w:val="both"/>
        <w:rPr>
          <w:rFonts w:ascii="Titillium Web" w:eastAsia="Titillium Web" w:hAnsi="Titillium Web" w:cs="Titillium Web"/>
          <w:b/>
          <w:color w:val="C00000"/>
          <w:sz w:val="22"/>
          <w:szCs w:val="22"/>
          <w:highlight w:val="white"/>
        </w:rPr>
      </w:pPr>
      <w:r>
        <w:rPr>
          <w:rFonts w:ascii="Titillium Web" w:eastAsia="Titillium Web" w:hAnsi="Titillium Web" w:cs="Titillium Web"/>
          <w:b/>
          <w:color w:val="C00000"/>
          <w:sz w:val="22"/>
          <w:szCs w:val="22"/>
          <w:highlight w:val="white"/>
        </w:rPr>
        <w:t xml:space="preserve">[O in alternativa: </w:t>
      </w:r>
      <w:r>
        <w:rPr>
          <w:rFonts w:ascii="Titillium Web" w:eastAsia="Titillium Web" w:hAnsi="Titillium Web" w:cs="Titillium Web"/>
          <w:color w:val="000000"/>
          <w:sz w:val="22"/>
          <w:szCs w:val="22"/>
          <w:highlight w:val="white"/>
        </w:rPr>
        <w:t xml:space="preserve">Non essendo stata </w:t>
      </w:r>
      <w:r>
        <w:rPr>
          <w:rFonts w:ascii="Titillium Web" w:eastAsia="Titillium Web" w:hAnsi="Titillium Web" w:cs="Titillium Web"/>
          <w:color w:val="000000"/>
          <w:sz w:val="22"/>
          <w:szCs w:val="22"/>
          <w:highlight w:val="white"/>
        </w:rPr>
        <w:t>dichiarata in sede di offerta dall’OPERATORE ECONOMICO la volontà di subappaltare parte della fornitura, il subappalto non è ammesso</w:t>
      </w:r>
      <w:r>
        <w:rPr>
          <w:rFonts w:ascii="Titillium Web" w:eastAsia="Titillium Web" w:hAnsi="Titillium Web" w:cs="Titillium Web"/>
          <w:b/>
          <w:color w:val="C00000"/>
          <w:sz w:val="22"/>
          <w:szCs w:val="22"/>
          <w:highlight w:val="white"/>
        </w:rPr>
        <w:t>.]</w:t>
      </w:r>
    </w:p>
    <w:p w14:paraId="737C875B" w14:textId="77777777" w:rsidR="00BC74F4" w:rsidRDefault="00BC74F4">
      <w:pPr>
        <w:keepNext/>
        <w:widowControl w:val="0"/>
        <w:pBdr>
          <w:top w:val="nil"/>
          <w:left w:val="nil"/>
          <w:bottom w:val="nil"/>
          <w:right w:val="nil"/>
          <w:between w:val="nil"/>
        </w:pBdr>
        <w:tabs>
          <w:tab w:val="left" w:pos="426"/>
          <w:tab w:val="left" w:pos="709"/>
          <w:tab w:val="left" w:pos="851"/>
        </w:tabs>
        <w:spacing w:line="276" w:lineRule="auto"/>
        <w:ind w:left="0" w:right="-1220" w:hanging="2"/>
        <w:jc w:val="both"/>
        <w:rPr>
          <w:rFonts w:ascii="Titillium Web" w:eastAsia="Titillium Web" w:hAnsi="Titillium Web" w:cs="Titillium Web"/>
          <w:b/>
          <w:color w:val="C00000"/>
          <w:sz w:val="22"/>
          <w:szCs w:val="22"/>
          <w:highlight w:val="white"/>
        </w:rPr>
      </w:pPr>
    </w:p>
    <w:p w14:paraId="0B61AE57" w14:textId="77777777" w:rsidR="00BC74F4" w:rsidRDefault="007477EA">
      <w:pPr>
        <w:keepNext/>
        <w:widowControl w:val="0"/>
        <w:pBdr>
          <w:top w:val="nil"/>
          <w:left w:val="nil"/>
          <w:bottom w:val="nil"/>
          <w:right w:val="nil"/>
          <w:between w:val="nil"/>
        </w:pBdr>
        <w:tabs>
          <w:tab w:val="left" w:pos="426"/>
        </w:tabs>
        <w:spacing w:line="276" w:lineRule="auto"/>
        <w:ind w:left="0" w:right="-1220" w:hanging="2"/>
        <w:jc w:val="center"/>
        <w:rPr>
          <w:rFonts w:ascii="Titillium Web" w:eastAsia="Titillium Web" w:hAnsi="Titillium Web" w:cs="Titillium Web"/>
          <w:b/>
          <w:color w:val="000000"/>
          <w:sz w:val="22"/>
          <w:szCs w:val="22"/>
          <w:highlight w:val="white"/>
        </w:rPr>
      </w:pPr>
      <w:r>
        <w:rPr>
          <w:rFonts w:ascii="Titillium Web" w:eastAsia="Titillium Web" w:hAnsi="Titillium Web" w:cs="Titillium Web"/>
          <w:b/>
          <w:color w:val="000000"/>
          <w:sz w:val="22"/>
          <w:szCs w:val="22"/>
          <w:highlight w:val="white"/>
        </w:rPr>
        <w:t xml:space="preserve">Art.  </w:t>
      </w:r>
      <w:r>
        <w:rPr>
          <w:rFonts w:ascii="Titillium Web" w:eastAsia="Titillium Web" w:hAnsi="Titillium Web" w:cs="Titillium Web"/>
          <w:b/>
          <w:color w:val="000000"/>
          <w:sz w:val="22"/>
          <w:szCs w:val="22"/>
          <w:highlight w:val="white"/>
          <w:u w:val="single"/>
        </w:rPr>
        <w:t>Cessione del Contratto</w:t>
      </w:r>
    </w:p>
    <w:p w14:paraId="3D69F1E2" w14:textId="77777777" w:rsidR="00BC74F4" w:rsidRDefault="007477EA">
      <w:pPr>
        <w:keepNext/>
        <w:widowControl w:val="0"/>
        <w:pBdr>
          <w:top w:val="nil"/>
          <w:left w:val="nil"/>
          <w:bottom w:val="nil"/>
          <w:right w:val="nil"/>
          <w:between w:val="nil"/>
        </w:pBdr>
        <w:tabs>
          <w:tab w:val="left" w:pos="426"/>
        </w:tabs>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 xml:space="preserve">È fatto divieto all'OPERATORE ECONOMICO di cedere, a qualsiasi titolo, il Contratto pena la nullità della cessione medesima. </w:t>
      </w:r>
    </w:p>
    <w:p w14:paraId="2471405F" w14:textId="77777777" w:rsidR="00BC74F4" w:rsidRDefault="00BC74F4">
      <w:pPr>
        <w:keepNext/>
        <w:widowControl w:val="0"/>
        <w:pBdr>
          <w:top w:val="nil"/>
          <w:left w:val="nil"/>
          <w:bottom w:val="nil"/>
          <w:right w:val="nil"/>
          <w:between w:val="nil"/>
        </w:pBdr>
        <w:tabs>
          <w:tab w:val="left" w:pos="426"/>
        </w:tabs>
        <w:spacing w:line="276" w:lineRule="auto"/>
        <w:ind w:left="0" w:right="-1220" w:hanging="2"/>
        <w:jc w:val="both"/>
        <w:rPr>
          <w:rFonts w:ascii="Titillium Web" w:eastAsia="Titillium Web" w:hAnsi="Titillium Web" w:cs="Titillium Web"/>
          <w:sz w:val="22"/>
          <w:szCs w:val="22"/>
          <w:highlight w:val="white"/>
        </w:rPr>
      </w:pPr>
    </w:p>
    <w:p w14:paraId="27BF4B1D" w14:textId="77777777" w:rsidR="00BC74F4" w:rsidRDefault="007477EA">
      <w:pPr>
        <w:pBdr>
          <w:top w:val="nil"/>
          <w:left w:val="nil"/>
          <w:bottom w:val="nil"/>
          <w:right w:val="nil"/>
          <w:between w:val="nil"/>
        </w:pBdr>
        <w:tabs>
          <w:tab w:val="left" w:pos="426"/>
        </w:tabs>
        <w:spacing w:line="276" w:lineRule="auto"/>
        <w:ind w:left="0" w:right="-1220" w:hanging="2"/>
        <w:jc w:val="center"/>
        <w:rPr>
          <w:rFonts w:ascii="Titillium Web" w:eastAsia="Titillium Web" w:hAnsi="Titillium Web" w:cs="Titillium Web"/>
          <w:color w:val="000000"/>
          <w:sz w:val="22"/>
          <w:szCs w:val="22"/>
          <w:highlight w:val="white"/>
        </w:rPr>
      </w:pPr>
      <w:r>
        <w:rPr>
          <w:rFonts w:ascii="Titillium Web" w:eastAsia="Titillium Web" w:hAnsi="Titillium Web" w:cs="Titillium Web"/>
          <w:b/>
          <w:color w:val="C00000"/>
          <w:sz w:val="22"/>
          <w:szCs w:val="22"/>
          <w:highlight w:val="white"/>
          <w:u w:val="single"/>
        </w:rPr>
        <w:t xml:space="preserve">[Eventuale per Avvalimento Interno: </w:t>
      </w:r>
      <w:r>
        <w:rPr>
          <w:rFonts w:ascii="Titillium Web" w:eastAsia="Titillium Web" w:hAnsi="Titillium Web" w:cs="Titillium Web"/>
          <w:b/>
          <w:color w:val="000000"/>
          <w:sz w:val="22"/>
          <w:szCs w:val="22"/>
          <w:highlight w:val="white"/>
        </w:rPr>
        <w:t xml:space="preserve">Art.  </w:t>
      </w:r>
      <w:r>
        <w:rPr>
          <w:rFonts w:ascii="Titillium Web" w:eastAsia="Titillium Web" w:hAnsi="Titillium Web" w:cs="Titillium Web"/>
          <w:b/>
          <w:color w:val="000000"/>
          <w:sz w:val="22"/>
          <w:szCs w:val="22"/>
          <w:highlight w:val="white"/>
          <w:u w:val="single"/>
        </w:rPr>
        <w:t>Avvalimento</w:t>
      </w:r>
    </w:p>
    <w:p w14:paraId="70B15FC3" w14:textId="77777777" w:rsidR="00BC74F4" w:rsidRDefault="007477EA">
      <w:pPr>
        <w:pBdr>
          <w:top w:val="nil"/>
          <w:left w:val="nil"/>
          <w:bottom w:val="nil"/>
          <w:right w:val="nil"/>
          <w:between w:val="nil"/>
        </w:pBdr>
        <w:tabs>
          <w:tab w:val="left" w:pos="426"/>
        </w:tabs>
        <w:spacing w:line="276" w:lineRule="auto"/>
        <w:ind w:left="0" w:right="-1220" w:hanging="2"/>
        <w:jc w:val="both"/>
        <w:rPr>
          <w:rFonts w:ascii="Titillium Web" w:eastAsia="Titillium Web" w:hAnsi="Titillium Web" w:cs="Titillium Web"/>
          <w:b/>
          <w:color w:val="C00000"/>
          <w:sz w:val="22"/>
          <w:szCs w:val="22"/>
          <w:highlight w:val="white"/>
        </w:rPr>
      </w:pPr>
      <w:bookmarkStart w:id="5" w:name="_heading=h.1fob9te" w:colFirst="0" w:colLast="0"/>
      <w:bookmarkEnd w:id="5"/>
      <w:r>
        <w:rPr>
          <w:rFonts w:ascii="Titillium Web" w:eastAsia="Titillium Web" w:hAnsi="Titillium Web" w:cs="Titillium Web"/>
          <w:color w:val="000000"/>
          <w:sz w:val="22"/>
          <w:szCs w:val="22"/>
          <w:highlight w:val="white"/>
        </w:rPr>
        <w:t xml:space="preserve"> L’INAF prende atto del legame di gruppo esistente tra l’OPERATORE ECONOMICO e l’ausiliaria _______ che si impegna a mettere a disposizione le risorse necessarie per tutta la durata dell’appalto. L’ausiliaria ______________ è responsabile in solido con l’OPERATORE ECONOMICO nei confronti dell’INAF per le obbligazioni discendenti dal presente Contratto</w:t>
      </w:r>
      <w:r>
        <w:rPr>
          <w:rFonts w:ascii="Titillium Web" w:eastAsia="Titillium Web" w:hAnsi="Titillium Web" w:cs="Titillium Web"/>
          <w:b/>
          <w:color w:val="C00000"/>
          <w:sz w:val="22"/>
          <w:szCs w:val="22"/>
          <w:highlight w:val="white"/>
        </w:rPr>
        <w:t>]</w:t>
      </w:r>
    </w:p>
    <w:p w14:paraId="5FB3BFF0" w14:textId="77777777" w:rsidR="00BC74F4" w:rsidRDefault="00BC74F4">
      <w:pPr>
        <w:pBdr>
          <w:top w:val="nil"/>
          <w:left w:val="nil"/>
          <w:bottom w:val="nil"/>
          <w:right w:val="nil"/>
          <w:between w:val="nil"/>
        </w:pBdr>
        <w:tabs>
          <w:tab w:val="left" w:pos="426"/>
        </w:tabs>
        <w:spacing w:line="276" w:lineRule="auto"/>
        <w:ind w:left="0" w:right="-1220" w:hanging="2"/>
        <w:jc w:val="both"/>
        <w:rPr>
          <w:rFonts w:ascii="Titillium Web" w:eastAsia="Titillium Web" w:hAnsi="Titillium Web" w:cs="Titillium Web"/>
          <w:b/>
          <w:color w:val="C00000"/>
          <w:sz w:val="22"/>
          <w:szCs w:val="22"/>
          <w:highlight w:val="white"/>
        </w:rPr>
      </w:pPr>
      <w:bookmarkStart w:id="6" w:name="_heading=h.12osz2tu4yc0" w:colFirst="0" w:colLast="0"/>
      <w:bookmarkEnd w:id="6"/>
    </w:p>
    <w:p w14:paraId="0DD73D05" w14:textId="77777777" w:rsidR="00BC74F4" w:rsidRDefault="007477EA">
      <w:pPr>
        <w:pBdr>
          <w:top w:val="nil"/>
          <w:left w:val="nil"/>
          <w:bottom w:val="nil"/>
          <w:right w:val="nil"/>
          <w:between w:val="nil"/>
        </w:pBdr>
        <w:tabs>
          <w:tab w:val="left" w:pos="426"/>
        </w:tabs>
        <w:spacing w:line="276" w:lineRule="auto"/>
        <w:ind w:left="0" w:right="-1220" w:hanging="2"/>
        <w:jc w:val="center"/>
        <w:rPr>
          <w:rFonts w:ascii="Titillium Web" w:eastAsia="Titillium Web" w:hAnsi="Titillium Web" w:cs="Titillium Web"/>
          <w:color w:val="000000"/>
          <w:sz w:val="22"/>
          <w:szCs w:val="22"/>
          <w:highlight w:val="white"/>
        </w:rPr>
      </w:pPr>
      <w:r>
        <w:rPr>
          <w:rFonts w:ascii="Titillium Web" w:eastAsia="Titillium Web" w:hAnsi="Titillium Web" w:cs="Titillium Web"/>
          <w:b/>
          <w:color w:val="C00000"/>
          <w:sz w:val="22"/>
          <w:szCs w:val="22"/>
          <w:highlight w:val="white"/>
          <w:u w:val="single"/>
        </w:rPr>
        <w:t xml:space="preserve">[Eventuale per Avvalimento Esterno: </w:t>
      </w:r>
      <w:r>
        <w:rPr>
          <w:rFonts w:ascii="Titillium Web" w:eastAsia="Titillium Web" w:hAnsi="Titillium Web" w:cs="Titillium Web"/>
          <w:b/>
          <w:color w:val="000000"/>
          <w:sz w:val="22"/>
          <w:szCs w:val="22"/>
          <w:highlight w:val="white"/>
          <w:u w:val="single"/>
        </w:rPr>
        <w:t>Art. Avvalimento</w:t>
      </w:r>
    </w:p>
    <w:p w14:paraId="154CB2B3" w14:textId="7500F196" w:rsidR="00BC74F4" w:rsidRDefault="007477EA">
      <w:pPr>
        <w:pBdr>
          <w:top w:val="nil"/>
          <w:left w:val="nil"/>
          <w:bottom w:val="nil"/>
          <w:right w:val="nil"/>
          <w:between w:val="nil"/>
        </w:pBdr>
        <w:tabs>
          <w:tab w:val="left" w:pos="426"/>
        </w:tabs>
        <w:spacing w:line="276" w:lineRule="auto"/>
        <w:ind w:left="0" w:right="-1220" w:hanging="2"/>
        <w:jc w:val="both"/>
        <w:rPr>
          <w:rFonts w:ascii="Titillium Web" w:eastAsia="Titillium Web" w:hAnsi="Titillium Web" w:cs="Titillium Web"/>
          <w:b/>
          <w:color w:val="C00000"/>
          <w:sz w:val="22"/>
          <w:szCs w:val="22"/>
          <w:highlight w:val="white"/>
        </w:rPr>
      </w:pPr>
      <w:r>
        <w:rPr>
          <w:rFonts w:ascii="Titillium Web" w:eastAsia="Titillium Web" w:hAnsi="Titillium Web" w:cs="Titillium Web"/>
          <w:color w:val="000000"/>
          <w:sz w:val="22"/>
          <w:szCs w:val="22"/>
          <w:highlight w:val="white"/>
        </w:rPr>
        <w:lastRenderedPageBreak/>
        <w:t xml:space="preserve">L’INAF riconosce la validità del contratto di avvalimento stipulato il __________ tra l’OPERATORE ECONOMICO e la Società _________ di </w:t>
      </w:r>
      <w:r>
        <w:rPr>
          <w:rFonts w:ascii="Titillium Web" w:eastAsia="Titillium Web" w:hAnsi="Titillium Web" w:cs="Titillium Web"/>
          <w:sz w:val="22"/>
          <w:szCs w:val="22"/>
          <w:highlight w:val="white"/>
        </w:rPr>
        <w:t>_____________ in</w:t>
      </w:r>
      <w:r>
        <w:rPr>
          <w:rFonts w:ascii="Titillium Web" w:eastAsia="Titillium Web" w:hAnsi="Titillium Web" w:cs="Titillium Web"/>
          <w:color w:val="000000"/>
          <w:sz w:val="22"/>
          <w:szCs w:val="22"/>
          <w:highlight w:val="white"/>
        </w:rPr>
        <w:t xml:space="preserve"> ordine alla messa a disposizione da parte di quest’ultima del requisito del ______________</w:t>
      </w:r>
      <w:r w:rsidR="00877927">
        <w:rPr>
          <w:rFonts w:ascii="Titillium Web" w:eastAsia="Titillium Web" w:hAnsi="Titillium Web" w:cs="Titillium Web"/>
          <w:color w:val="000000"/>
          <w:sz w:val="22"/>
          <w:szCs w:val="22"/>
          <w:highlight w:val="white"/>
        </w:rPr>
        <w:t>_]</w:t>
      </w:r>
    </w:p>
    <w:p w14:paraId="3A703440" w14:textId="77777777" w:rsidR="00BC74F4" w:rsidRDefault="00BC74F4">
      <w:pPr>
        <w:pBdr>
          <w:top w:val="nil"/>
          <w:left w:val="nil"/>
          <w:bottom w:val="nil"/>
          <w:right w:val="nil"/>
          <w:between w:val="nil"/>
        </w:pBdr>
        <w:tabs>
          <w:tab w:val="left" w:pos="426"/>
        </w:tabs>
        <w:spacing w:line="276" w:lineRule="auto"/>
        <w:ind w:left="0" w:right="-1220" w:hanging="2"/>
        <w:jc w:val="both"/>
        <w:rPr>
          <w:rFonts w:ascii="Titillium Web" w:eastAsia="Titillium Web" w:hAnsi="Titillium Web" w:cs="Titillium Web"/>
          <w:b/>
          <w:color w:val="C00000"/>
          <w:sz w:val="22"/>
          <w:szCs w:val="22"/>
          <w:highlight w:val="white"/>
        </w:rPr>
      </w:pPr>
    </w:p>
    <w:p w14:paraId="7D915011" w14:textId="77777777" w:rsidR="00BC74F4" w:rsidRDefault="007477EA">
      <w:pPr>
        <w:keepNext/>
        <w:widowControl w:val="0"/>
        <w:pBdr>
          <w:top w:val="nil"/>
          <w:left w:val="nil"/>
          <w:bottom w:val="nil"/>
          <w:right w:val="nil"/>
          <w:between w:val="nil"/>
        </w:pBdr>
        <w:spacing w:line="276" w:lineRule="auto"/>
        <w:ind w:left="0" w:right="-1220" w:hanging="2"/>
        <w:jc w:val="center"/>
        <w:rPr>
          <w:rFonts w:ascii="Titillium Web" w:eastAsia="Titillium Web" w:hAnsi="Titillium Web" w:cs="Titillium Web"/>
          <w:b/>
          <w:color w:val="FF0000"/>
          <w:sz w:val="22"/>
          <w:szCs w:val="22"/>
          <w:highlight w:val="white"/>
        </w:rPr>
      </w:pPr>
      <w:r>
        <w:rPr>
          <w:rFonts w:ascii="Titillium Web" w:eastAsia="Titillium Web" w:hAnsi="Titillium Web" w:cs="Titillium Web"/>
          <w:b/>
          <w:color w:val="C00000"/>
          <w:sz w:val="22"/>
          <w:szCs w:val="22"/>
          <w:highlight w:val="white"/>
        </w:rPr>
        <w:t>[Eventuale:</w:t>
      </w:r>
      <w:r>
        <w:rPr>
          <w:rFonts w:ascii="Titillium Web" w:eastAsia="Titillium Web" w:hAnsi="Titillium Web" w:cs="Titillium Web"/>
          <w:b/>
          <w:color w:val="000000"/>
          <w:sz w:val="22"/>
          <w:szCs w:val="22"/>
          <w:highlight w:val="white"/>
        </w:rPr>
        <w:t xml:space="preserve"> Art. </w:t>
      </w:r>
      <w:r>
        <w:rPr>
          <w:rFonts w:ascii="Titillium Web" w:eastAsia="Titillium Web" w:hAnsi="Titillium Web" w:cs="Titillium Web"/>
          <w:b/>
          <w:color w:val="000000"/>
          <w:sz w:val="22"/>
          <w:szCs w:val="22"/>
          <w:highlight w:val="white"/>
          <w:u w:val="single"/>
        </w:rPr>
        <w:t>Assicurazione a carico dell’Appaltatore</w:t>
      </w:r>
    </w:p>
    <w:p w14:paraId="4AB98DB1" w14:textId="77777777" w:rsidR="00BC74F4" w:rsidRDefault="007477EA">
      <w:pPr>
        <w:keepNext/>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b/>
          <w:color w:val="C00000"/>
          <w:sz w:val="22"/>
          <w:szCs w:val="22"/>
          <w:highlight w:val="white"/>
        </w:rPr>
      </w:pPr>
      <w:r>
        <w:rPr>
          <w:rFonts w:ascii="Titillium Web" w:eastAsia="Titillium Web" w:hAnsi="Titillium Web" w:cs="Titillium Web"/>
          <w:color w:val="000000"/>
          <w:sz w:val="22"/>
          <w:szCs w:val="22"/>
          <w:highlight w:val="white"/>
        </w:rPr>
        <w:t>L’OPERATORE ECONOMICO è ritenut</w:t>
      </w:r>
      <w:r>
        <w:rPr>
          <w:rFonts w:ascii="Titillium Web" w:eastAsia="Titillium Web" w:hAnsi="Titillium Web" w:cs="Titillium Web"/>
          <w:sz w:val="22"/>
          <w:szCs w:val="22"/>
          <w:highlight w:val="white"/>
        </w:rPr>
        <w:t>o</w:t>
      </w:r>
      <w:r>
        <w:rPr>
          <w:rFonts w:ascii="Titillium Web" w:eastAsia="Titillium Web" w:hAnsi="Titillium Web" w:cs="Titillium Web"/>
          <w:color w:val="000000"/>
          <w:sz w:val="22"/>
          <w:szCs w:val="22"/>
          <w:highlight w:val="white"/>
        </w:rPr>
        <w:t xml:space="preserve"> responsabile di qualunque fatto doloso o colposo anche dei propri dipendenti che cagioni danni all’INAF al personale INAF, a terzi o a cose di terzi e si impegna conseguentemente al risarcimento di tutti i danni, diretti o indiretti, prodotti o conseguenti. A tal fine l’appaltatore ha stipulato la polizza di cui in premessa.</w:t>
      </w:r>
      <w:r>
        <w:rPr>
          <w:rFonts w:ascii="Titillium Web" w:eastAsia="Titillium Web" w:hAnsi="Titillium Web" w:cs="Titillium Web"/>
          <w:b/>
          <w:color w:val="C00000"/>
          <w:sz w:val="22"/>
          <w:szCs w:val="22"/>
          <w:highlight w:val="white"/>
        </w:rPr>
        <w:t>]</w:t>
      </w:r>
    </w:p>
    <w:p w14:paraId="4B7DA055" w14:textId="77777777" w:rsidR="00BC74F4" w:rsidRDefault="00BC74F4">
      <w:pPr>
        <w:keepNext/>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b/>
          <w:color w:val="C00000"/>
          <w:sz w:val="22"/>
          <w:szCs w:val="22"/>
          <w:highlight w:val="white"/>
        </w:rPr>
      </w:pPr>
    </w:p>
    <w:p w14:paraId="2D7CBF56" w14:textId="77777777" w:rsidR="00BC74F4" w:rsidRDefault="007477EA">
      <w:pPr>
        <w:pBdr>
          <w:top w:val="nil"/>
          <w:left w:val="nil"/>
          <w:bottom w:val="nil"/>
          <w:right w:val="nil"/>
          <w:between w:val="nil"/>
        </w:pBdr>
        <w:tabs>
          <w:tab w:val="left" w:pos="284"/>
        </w:tabs>
        <w:spacing w:line="276" w:lineRule="auto"/>
        <w:ind w:left="0" w:right="-1220" w:hanging="2"/>
        <w:jc w:val="center"/>
        <w:rPr>
          <w:rFonts w:ascii="Titillium Web" w:eastAsia="Titillium Web" w:hAnsi="Titillium Web" w:cs="Titillium Web"/>
          <w:b/>
          <w:color w:val="000000"/>
          <w:sz w:val="22"/>
          <w:szCs w:val="22"/>
          <w:highlight w:val="white"/>
        </w:rPr>
      </w:pPr>
      <w:r>
        <w:rPr>
          <w:rFonts w:ascii="Titillium Web" w:eastAsia="Titillium Web" w:hAnsi="Titillium Web" w:cs="Titillium Web"/>
          <w:b/>
          <w:color w:val="000000"/>
          <w:sz w:val="22"/>
          <w:szCs w:val="22"/>
          <w:highlight w:val="white"/>
        </w:rPr>
        <w:t xml:space="preserve">Art. </w:t>
      </w:r>
      <w:r>
        <w:rPr>
          <w:rFonts w:ascii="Titillium Web" w:eastAsia="Titillium Web" w:hAnsi="Titillium Web" w:cs="Titillium Web"/>
          <w:b/>
          <w:color w:val="000000"/>
          <w:sz w:val="22"/>
          <w:szCs w:val="22"/>
          <w:highlight w:val="white"/>
          <w:u w:val="single"/>
        </w:rPr>
        <w:t>Penali</w:t>
      </w:r>
    </w:p>
    <w:p w14:paraId="25C513A5" w14:textId="624D82FE" w:rsidR="00BC74F4" w:rsidRDefault="007477EA">
      <w:pPr>
        <w:pBdr>
          <w:top w:val="nil"/>
          <w:left w:val="nil"/>
          <w:bottom w:val="nil"/>
          <w:right w:val="nil"/>
          <w:between w:val="nil"/>
        </w:pBdr>
        <w:tabs>
          <w:tab w:val="left" w:pos="284"/>
        </w:tabs>
        <w:spacing w:line="276" w:lineRule="auto"/>
        <w:ind w:left="0" w:right="-1220" w:hanging="2"/>
        <w:jc w:val="both"/>
        <w:rPr>
          <w:rFonts w:ascii="Titillium Web" w:eastAsia="Titillium Web" w:hAnsi="Titillium Web" w:cs="Titillium Web"/>
          <w:b/>
          <w:sz w:val="22"/>
          <w:szCs w:val="22"/>
          <w:highlight w:val="white"/>
        </w:rPr>
      </w:pPr>
      <w:r>
        <w:rPr>
          <w:rFonts w:ascii="Titillium Web" w:eastAsia="Titillium Web" w:hAnsi="Titillium Web" w:cs="Titillium Web"/>
          <w:color w:val="000000"/>
          <w:sz w:val="22"/>
          <w:szCs w:val="22"/>
          <w:highlight w:val="white"/>
        </w:rPr>
        <w:t>Nel caso di inadempienze o di ritardi nell’esecuzione del presente Contratto, inclusa la violazione degli obblighi inerenti alla promozione di parità di genere e generazionale di cui agli articoli 47 comma 3, 3-bis e 4 del D.L. 77/2021, l’OPERATORE ECONOMICO sarà tenuta al pagamento di una penale pari a ______% (……………)  dell’importo contrattuale, per ogni giorno di ritardata consegna o inadempimento rispetto al termine indicato nella diffida, fino ad un massimo del</w:t>
      </w:r>
      <w:r w:rsidR="00877927">
        <w:rPr>
          <w:rFonts w:ascii="Titillium Web" w:eastAsia="Titillium Web" w:hAnsi="Titillium Web" w:cs="Titillium Web"/>
          <w:color w:val="000000"/>
          <w:sz w:val="22"/>
          <w:szCs w:val="22"/>
          <w:highlight w:val="white"/>
        </w:rPr>
        <w:t xml:space="preserve"> …</w:t>
      </w:r>
      <w:r>
        <w:rPr>
          <w:rFonts w:ascii="Titillium Web" w:eastAsia="Titillium Web" w:hAnsi="Titillium Web" w:cs="Titillium Web"/>
          <w:color w:val="000000"/>
          <w:sz w:val="22"/>
          <w:szCs w:val="22"/>
          <w:highlight w:val="white"/>
        </w:rPr>
        <w:t>% (……</w:t>
      </w:r>
      <w:proofErr w:type="gramStart"/>
      <w:r>
        <w:rPr>
          <w:rFonts w:ascii="Titillium Web" w:eastAsia="Titillium Web" w:hAnsi="Titillium Web" w:cs="Titillium Web"/>
          <w:color w:val="000000"/>
          <w:sz w:val="22"/>
          <w:szCs w:val="22"/>
          <w:highlight w:val="white"/>
        </w:rPr>
        <w:t>…….</w:t>
      </w:r>
      <w:proofErr w:type="gramEnd"/>
      <w:r>
        <w:rPr>
          <w:rFonts w:ascii="Titillium Web" w:eastAsia="Titillium Web" w:hAnsi="Titillium Web" w:cs="Titillium Web"/>
          <w:color w:val="000000"/>
          <w:sz w:val="22"/>
          <w:szCs w:val="22"/>
          <w:highlight w:val="white"/>
        </w:rPr>
        <w:t>.) del medesimo importo.</w:t>
      </w:r>
      <w:r>
        <w:rPr>
          <w:rFonts w:ascii="Titillium Web" w:eastAsia="Titillium Web" w:hAnsi="Titillium Web" w:cs="Titillium Web"/>
          <w:b/>
          <w:color w:val="C00000"/>
          <w:sz w:val="22"/>
          <w:szCs w:val="22"/>
          <w:highlight w:val="white"/>
        </w:rPr>
        <w:t xml:space="preserve"> </w:t>
      </w:r>
    </w:p>
    <w:p w14:paraId="148F6CC6" w14:textId="3CA4513F" w:rsidR="00BC74F4" w:rsidRDefault="007477EA">
      <w:pPr>
        <w:pBdr>
          <w:top w:val="nil"/>
          <w:left w:val="nil"/>
          <w:bottom w:val="nil"/>
          <w:right w:val="nil"/>
          <w:between w:val="nil"/>
        </w:pBdr>
        <w:tabs>
          <w:tab w:val="left" w:pos="284"/>
        </w:tabs>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b/>
          <w:color w:val="C00000"/>
          <w:sz w:val="22"/>
          <w:szCs w:val="22"/>
          <w:highlight w:val="white"/>
        </w:rPr>
        <w:t xml:space="preserve">[nota: in deroga alla normativa standard, la normativa relativa al Piano Nazionale di Ripresa e Resilienza prevede che il quantum delle penali possa essere fissato ai sensi </w:t>
      </w:r>
      <w:r>
        <w:rPr>
          <w:rFonts w:ascii="Titillium Web" w:eastAsia="Titillium Web" w:hAnsi="Titillium Web" w:cs="Titillium Web"/>
          <w:b/>
          <w:color w:val="C00000"/>
          <w:sz w:val="22"/>
          <w:szCs w:val="22"/>
          <w:highlight w:val="white"/>
        </w:rPr>
        <w:t>dell’art 50 D.L. 77/</w:t>
      </w:r>
      <w:r w:rsidR="00877927">
        <w:rPr>
          <w:rFonts w:ascii="Titillium Web" w:eastAsia="Titillium Web" w:hAnsi="Titillium Web" w:cs="Titillium Web"/>
          <w:b/>
          <w:color w:val="C00000"/>
          <w:sz w:val="22"/>
          <w:szCs w:val="22"/>
          <w:highlight w:val="white"/>
        </w:rPr>
        <w:t>2021 -</w:t>
      </w:r>
      <w:r>
        <w:rPr>
          <w:rFonts w:ascii="Titillium Web" w:eastAsia="Titillium Web" w:hAnsi="Titillium Web" w:cs="Titillium Web"/>
          <w:b/>
          <w:color w:val="C00000"/>
          <w:sz w:val="22"/>
          <w:szCs w:val="22"/>
          <w:highlight w:val="white"/>
        </w:rPr>
        <w:t xml:space="preserve">compresa tra lo 0,6 </w:t>
      </w:r>
      <w:r w:rsidR="00877927">
        <w:rPr>
          <w:rFonts w:ascii="Titillium Web" w:eastAsia="Titillium Web" w:hAnsi="Titillium Web" w:cs="Titillium Web"/>
          <w:b/>
          <w:color w:val="C00000"/>
          <w:sz w:val="22"/>
          <w:szCs w:val="22"/>
          <w:highlight w:val="white"/>
        </w:rPr>
        <w:t>per mille</w:t>
      </w:r>
      <w:r>
        <w:rPr>
          <w:rFonts w:ascii="Titillium Web" w:eastAsia="Titillium Web" w:hAnsi="Titillium Web" w:cs="Titillium Web"/>
          <w:b/>
          <w:color w:val="C00000"/>
          <w:sz w:val="22"/>
          <w:szCs w:val="22"/>
          <w:highlight w:val="white"/>
        </w:rPr>
        <w:t xml:space="preserve"> e l'1 per mille, fino al tetto massimo del 20% del valore contrattuale]</w:t>
      </w:r>
    </w:p>
    <w:p w14:paraId="5D4C9483" w14:textId="77777777" w:rsidR="00BC74F4" w:rsidRDefault="007477EA">
      <w:pPr>
        <w:pBdr>
          <w:top w:val="nil"/>
          <w:left w:val="nil"/>
          <w:bottom w:val="nil"/>
          <w:right w:val="nil"/>
          <w:between w:val="nil"/>
        </w:pBdr>
        <w:tabs>
          <w:tab w:val="left" w:pos="284"/>
        </w:tabs>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L'applicazione delle penali non preclude all’INAF il diritto di agire per il risarcimento degli eventuali maggiori danni o per l'eventuale risoluzione del Contratto, se l'ammontare delle penali dovesse raggiungere l'importo della garanzia fideiussoria definitiva.</w:t>
      </w:r>
    </w:p>
    <w:p w14:paraId="5DEA4259" w14:textId="77777777" w:rsidR="00BC74F4" w:rsidRDefault="00BC74F4">
      <w:pPr>
        <w:pBdr>
          <w:top w:val="nil"/>
          <w:left w:val="nil"/>
          <w:bottom w:val="nil"/>
          <w:right w:val="nil"/>
          <w:between w:val="nil"/>
        </w:pBdr>
        <w:tabs>
          <w:tab w:val="left" w:pos="284"/>
        </w:tabs>
        <w:spacing w:line="276" w:lineRule="auto"/>
        <w:ind w:left="0" w:right="-1220" w:hanging="2"/>
        <w:jc w:val="both"/>
        <w:rPr>
          <w:rFonts w:ascii="Titillium Web" w:eastAsia="Titillium Web" w:hAnsi="Titillium Web" w:cs="Titillium Web"/>
          <w:color w:val="000000"/>
          <w:sz w:val="22"/>
          <w:szCs w:val="22"/>
          <w:highlight w:val="white"/>
        </w:rPr>
      </w:pPr>
    </w:p>
    <w:p w14:paraId="7F004B96" w14:textId="77777777" w:rsidR="00BC74F4" w:rsidRDefault="007477EA">
      <w:pPr>
        <w:keepNext/>
        <w:widowControl w:val="0"/>
        <w:pBdr>
          <w:top w:val="nil"/>
          <w:left w:val="nil"/>
          <w:bottom w:val="nil"/>
          <w:right w:val="nil"/>
          <w:between w:val="nil"/>
        </w:pBdr>
        <w:tabs>
          <w:tab w:val="left" w:pos="426"/>
        </w:tabs>
        <w:spacing w:line="276" w:lineRule="auto"/>
        <w:ind w:left="0" w:right="-1220" w:hanging="2"/>
        <w:jc w:val="center"/>
        <w:rPr>
          <w:rFonts w:ascii="Titillium Web" w:eastAsia="Titillium Web" w:hAnsi="Titillium Web" w:cs="Titillium Web"/>
          <w:b/>
          <w:color w:val="000000"/>
          <w:sz w:val="22"/>
          <w:szCs w:val="22"/>
          <w:highlight w:val="white"/>
        </w:rPr>
      </w:pPr>
      <w:r>
        <w:rPr>
          <w:rFonts w:ascii="Titillium Web" w:eastAsia="Titillium Web" w:hAnsi="Titillium Web" w:cs="Titillium Web"/>
          <w:b/>
          <w:color w:val="000000"/>
          <w:sz w:val="22"/>
          <w:szCs w:val="22"/>
          <w:highlight w:val="white"/>
        </w:rPr>
        <w:t xml:space="preserve">Art.  </w:t>
      </w:r>
      <w:r>
        <w:rPr>
          <w:rFonts w:ascii="Titillium Web" w:eastAsia="Titillium Web" w:hAnsi="Titillium Web" w:cs="Titillium Web"/>
          <w:b/>
          <w:color w:val="000000"/>
          <w:sz w:val="22"/>
          <w:szCs w:val="22"/>
          <w:highlight w:val="white"/>
          <w:u w:val="single"/>
        </w:rPr>
        <w:t>Garanzia definitiva</w:t>
      </w:r>
    </w:p>
    <w:p w14:paraId="4960B1FA" w14:textId="2265EAB3" w:rsidR="00BC74F4" w:rsidRDefault="007477EA">
      <w:pPr>
        <w:widowControl w:val="0"/>
        <w:pBdr>
          <w:top w:val="nil"/>
          <w:left w:val="nil"/>
          <w:bottom w:val="nil"/>
          <w:right w:val="nil"/>
          <w:between w:val="nil"/>
        </w:pBdr>
        <w:tabs>
          <w:tab w:val="left" w:pos="426"/>
        </w:tabs>
        <w:spacing w:line="276" w:lineRule="auto"/>
        <w:ind w:left="0" w:right="-1220" w:hanging="2"/>
        <w:jc w:val="both"/>
        <w:rPr>
          <w:rFonts w:ascii="Titillium Web" w:eastAsia="Titillium Web" w:hAnsi="Titillium Web" w:cs="Titillium Web"/>
          <w:color w:val="000000"/>
          <w:sz w:val="22"/>
          <w:szCs w:val="22"/>
          <w:highlight w:val="white"/>
        </w:rPr>
      </w:pPr>
      <w:sdt>
        <w:sdtPr>
          <w:rPr>
            <w:rFonts w:ascii="Titillium Web" w:eastAsia="Titillium Web" w:hAnsi="Titillium Web" w:cs="Titillium Web"/>
            <w:color w:val="000000"/>
            <w:sz w:val="22"/>
            <w:szCs w:val="22"/>
            <w:highlight w:val="white"/>
          </w:rPr>
          <w:tag w:val="goog_rdk_4"/>
          <w:id w:val="-893577450"/>
        </w:sdtPr>
        <w:sdtEndPr/>
        <w:sdtContent>
          <w:r w:rsidRPr="00877927">
            <w:rPr>
              <w:rFonts w:ascii="Titillium Web" w:eastAsia="Titillium Web" w:hAnsi="Titillium Web" w:cs="Titillium Web"/>
              <w:color w:val="000000"/>
              <w:sz w:val="22"/>
              <w:szCs w:val="22"/>
              <w:highlight w:val="white"/>
            </w:rPr>
            <w:t>L’Operatore Economico ha prestato garanzia fideiussoria definitiva di €</w:t>
          </w:r>
          <w:r w:rsidR="00877927" w:rsidRPr="00877927">
            <w:rPr>
              <w:rFonts w:ascii="Titillium Web" w:eastAsia="Titillium Web" w:hAnsi="Titillium Web" w:cs="Titillium Web"/>
              <w:color w:val="000000"/>
              <w:sz w:val="22"/>
              <w:szCs w:val="22"/>
              <w:highlight w:val="white"/>
            </w:rPr>
            <w:t xml:space="preserve"> …</w:t>
          </w:r>
          <w:r w:rsidRPr="00877927">
            <w:rPr>
              <w:rFonts w:ascii="Titillium Web" w:eastAsia="Titillium Web" w:hAnsi="Titillium Web" w:cs="Titillium Web"/>
              <w:color w:val="000000"/>
              <w:sz w:val="22"/>
              <w:szCs w:val="22"/>
              <w:highlight w:val="white"/>
            </w:rPr>
            <w:t>……...</w:t>
          </w:r>
          <w:r w:rsidR="00877927" w:rsidRPr="00877927">
            <w:rPr>
              <w:rFonts w:ascii="Titillium Web" w:eastAsia="Titillium Web" w:hAnsi="Titillium Web" w:cs="Titillium Web"/>
              <w:color w:val="000000"/>
              <w:sz w:val="22"/>
              <w:szCs w:val="22"/>
              <w:highlight w:val="white"/>
            </w:rPr>
            <w:t>……</w:t>
          </w:r>
          <w:r w:rsidRPr="00877927">
            <w:rPr>
              <w:rFonts w:ascii="Titillium Web" w:eastAsia="Titillium Web" w:hAnsi="Titillium Web" w:cs="Titillium Web"/>
              <w:color w:val="000000"/>
              <w:sz w:val="22"/>
              <w:szCs w:val="22"/>
              <w:highlight w:val="white"/>
            </w:rPr>
            <w:t xml:space="preserve">, </w:t>
          </w:r>
          <w:r w:rsidRPr="00877927">
            <w:rPr>
              <w:rFonts w:ascii="Titillium Web" w:eastAsia="Titillium Web" w:hAnsi="Titillium Web" w:cs="Titillium Web"/>
              <w:color w:val="000000"/>
              <w:sz w:val="22"/>
              <w:szCs w:val="22"/>
              <w:highlight w:val="white"/>
            </w:rPr>
            <w:t>mediante [</w:t>
          </w:r>
        </w:sdtContent>
      </w:sdt>
      <w:r w:rsidRPr="00877927">
        <w:rPr>
          <w:rFonts w:ascii="Titillium Web" w:eastAsia="Titillium Web" w:hAnsi="Titillium Web" w:cs="Titillium Web"/>
          <w:color w:val="000000"/>
          <w:sz w:val="22"/>
          <w:szCs w:val="22"/>
          <w:highlight w:val="white"/>
        </w:rPr>
        <w:t>indicare un’opzione: fideiussione /polizza assicurativa/bonifico] numero</w:t>
      </w:r>
      <w:r w:rsidR="00877927" w:rsidRPr="00877927">
        <w:rPr>
          <w:rFonts w:ascii="Titillium Web" w:eastAsia="Titillium Web" w:hAnsi="Titillium Web" w:cs="Titillium Web"/>
          <w:color w:val="000000"/>
          <w:sz w:val="22"/>
          <w:szCs w:val="22"/>
          <w:highlight w:val="white"/>
        </w:rPr>
        <w:t xml:space="preserve"> …</w:t>
      </w:r>
      <w:r w:rsidRPr="00877927">
        <w:rPr>
          <w:rFonts w:ascii="Titillium Web" w:eastAsia="Titillium Web" w:hAnsi="Titillium Web" w:cs="Titillium Web"/>
          <w:color w:val="000000"/>
          <w:sz w:val="22"/>
          <w:szCs w:val="22"/>
          <w:highlight w:val="white"/>
        </w:rPr>
        <w:t>…, emessa dalla ……</w:t>
      </w:r>
      <w:proofErr w:type="gramStart"/>
      <w:r w:rsidRPr="00877927">
        <w:rPr>
          <w:rFonts w:ascii="Titillium Web" w:eastAsia="Titillium Web" w:hAnsi="Titillium Web" w:cs="Titillium Web"/>
          <w:color w:val="000000"/>
          <w:sz w:val="22"/>
          <w:szCs w:val="22"/>
          <w:highlight w:val="white"/>
        </w:rPr>
        <w:t>…….</w:t>
      </w:r>
      <w:proofErr w:type="gramEnd"/>
      <w:r w:rsidRPr="00877927">
        <w:rPr>
          <w:rFonts w:ascii="Titillium Web" w:eastAsia="Titillium Web" w:hAnsi="Titillium Web" w:cs="Titillium Web"/>
          <w:color w:val="000000"/>
          <w:sz w:val="22"/>
          <w:szCs w:val="22"/>
          <w:highlight w:val="white"/>
        </w:rPr>
        <w:t xml:space="preserve">……. il </w:t>
      </w:r>
      <w:r w:rsidR="00877927" w:rsidRPr="00877927">
        <w:rPr>
          <w:rFonts w:ascii="Titillium Web" w:eastAsia="Titillium Web" w:hAnsi="Titillium Web" w:cs="Titillium Web"/>
          <w:color w:val="000000"/>
          <w:sz w:val="22"/>
          <w:szCs w:val="22"/>
          <w:highlight w:val="white"/>
        </w:rPr>
        <w:t>……</w:t>
      </w:r>
      <w:r w:rsidRPr="00877927">
        <w:rPr>
          <w:rFonts w:ascii="Titillium Web" w:eastAsia="Titillium Web" w:hAnsi="Titillium Web" w:cs="Titillium Web"/>
          <w:color w:val="000000"/>
          <w:sz w:val="22"/>
          <w:szCs w:val="22"/>
          <w:highlight w:val="white"/>
        </w:rPr>
        <w:t>…,</w:t>
      </w:r>
    </w:p>
    <w:p w14:paraId="1D98A0A9" w14:textId="77777777" w:rsidR="00BC74F4" w:rsidRPr="00877927" w:rsidRDefault="007477EA">
      <w:pPr>
        <w:widowControl w:val="0"/>
        <w:pBdr>
          <w:top w:val="nil"/>
          <w:left w:val="nil"/>
          <w:bottom w:val="nil"/>
          <w:right w:val="nil"/>
          <w:between w:val="nil"/>
        </w:pBdr>
        <w:tabs>
          <w:tab w:val="left" w:pos="426"/>
        </w:tabs>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 xml:space="preserve">che sarà svincolata nei modi e nei tempi previsti </w:t>
      </w:r>
      <w:r w:rsidRPr="00877927">
        <w:rPr>
          <w:rFonts w:ascii="Titillium Web" w:eastAsia="Titillium Web" w:hAnsi="Titillium Web" w:cs="Titillium Web"/>
          <w:color w:val="000000"/>
          <w:sz w:val="22"/>
          <w:szCs w:val="22"/>
          <w:highlight w:val="white"/>
        </w:rPr>
        <w:t xml:space="preserve">dalla legge. </w:t>
      </w:r>
      <w:r>
        <w:rPr>
          <w:rFonts w:ascii="Titillium Web" w:eastAsia="Titillium Web" w:hAnsi="Titillium Web" w:cs="Titillium Web"/>
          <w:color w:val="000000"/>
          <w:sz w:val="22"/>
          <w:szCs w:val="22"/>
          <w:highlight w:val="white"/>
        </w:rPr>
        <w:t xml:space="preserve">L’OPERATORE ECONOMICO si impegna a tenere valida ed efficace la garanzia per tutta la durata del presente Contratto e a </w:t>
      </w:r>
      <w:r w:rsidRPr="00877927">
        <w:rPr>
          <w:rFonts w:ascii="Titillium Web" w:eastAsia="Titillium Web" w:hAnsi="Titillium Web" w:cs="Titillium Web"/>
          <w:color w:val="000000"/>
          <w:sz w:val="22"/>
          <w:szCs w:val="22"/>
          <w:highlight w:val="white"/>
        </w:rPr>
        <w:t>integrare,</w:t>
      </w:r>
      <w:r>
        <w:rPr>
          <w:rFonts w:ascii="Titillium Web" w:eastAsia="Titillium Web" w:hAnsi="Titillium Web" w:cs="Titillium Web"/>
          <w:color w:val="000000"/>
          <w:sz w:val="22"/>
          <w:szCs w:val="22"/>
          <w:highlight w:val="white"/>
        </w:rPr>
        <w:t xml:space="preserve"> ove l’INAF se ne dovesse avvalere, entro il termine di 10 (dieci) giorni dalla richiesta. In caso di mancato reintegro entro il termine sopra indicato, il Contratto si intenderà risolto di diritto, salvo il risarcimento del danno.</w:t>
      </w:r>
    </w:p>
    <w:p w14:paraId="035828E6" w14:textId="77777777" w:rsidR="00BC74F4" w:rsidRDefault="00BC74F4">
      <w:pPr>
        <w:widowControl w:val="0"/>
        <w:pBdr>
          <w:top w:val="nil"/>
          <w:left w:val="nil"/>
          <w:bottom w:val="nil"/>
          <w:right w:val="nil"/>
          <w:between w:val="nil"/>
        </w:pBdr>
        <w:tabs>
          <w:tab w:val="left" w:pos="426"/>
        </w:tabs>
        <w:spacing w:line="276" w:lineRule="auto"/>
        <w:ind w:left="0" w:right="-1220" w:hanging="2"/>
        <w:jc w:val="both"/>
        <w:rPr>
          <w:rFonts w:ascii="Titillium Web" w:eastAsia="Titillium Web" w:hAnsi="Titillium Web" w:cs="Titillium Web"/>
          <w:b/>
          <w:color w:val="C00000"/>
          <w:sz w:val="22"/>
          <w:szCs w:val="22"/>
          <w:highlight w:val="white"/>
        </w:rPr>
      </w:pPr>
    </w:p>
    <w:p w14:paraId="6825A731" w14:textId="77777777" w:rsidR="00BC74F4" w:rsidRDefault="007477EA">
      <w:pPr>
        <w:widowControl w:val="0"/>
        <w:pBdr>
          <w:top w:val="nil"/>
          <w:left w:val="nil"/>
          <w:bottom w:val="nil"/>
          <w:right w:val="nil"/>
          <w:between w:val="nil"/>
        </w:pBdr>
        <w:tabs>
          <w:tab w:val="left" w:pos="426"/>
        </w:tabs>
        <w:spacing w:line="276" w:lineRule="auto"/>
        <w:ind w:left="0" w:right="-1220" w:hanging="2"/>
        <w:jc w:val="center"/>
        <w:rPr>
          <w:rFonts w:ascii="Titillium Web" w:eastAsia="Titillium Web" w:hAnsi="Titillium Web" w:cs="Titillium Web"/>
          <w:color w:val="000000"/>
          <w:sz w:val="22"/>
          <w:szCs w:val="22"/>
          <w:highlight w:val="white"/>
        </w:rPr>
      </w:pPr>
      <w:r>
        <w:rPr>
          <w:rFonts w:ascii="Titillium Web" w:eastAsia="Titillium Web" w:hAnsi="Titillium Web" w:cs="Titillium Web"/>
          <w:b/>
          <w:color w:val="000000"/>
          <w:sz w:val="22"/>
          <w:szCs w:val="22"/>
          <w:highlight w:val="white"/>
        </w:rPr>
        <w:t xml:space="preserve">Art.  </w:t>
      </w:r>
      <w:r>
        <w:rPr>
          <w:rFonts w:ascii="Titillium Web" w:eastAsia="Titillium Web" w:hAnsi="Titillium Web" w:cs="Titillium Web"/>
          <w:b/>
          <w:color w:val="000000"/>
          <w:sz w:val="22"/>
          <w:szCs w:val="22"/>
          <w:highlight w:val="white"/>
          <w:u w:val="single"/>
        </w:rPr>
        <w:t>Verifica di conformità, fatturazione e pagamenti</w:t>
      </w:r>
    </w:p>
    <w:p w14:paraId="078BE004" w14:textId="4E773201" w:rsidR="00BC74F4" w:rsidRPr="00877927" w:rsidRDefault="007477EA">
      <w:pPr>
        <w:widowControl w:val="0"/>
        <w:pBdr>
          <w:top w:val="nil"/>
          <w:left w:val="nil"/>
          <w:bottom w:val="nil"/>
          <w:right w:val="nil"/>
          <w:between w:val="nil"/>
        </w:pBdr>
        <w:tabs>
          <w:tab w:val="left" w:pos="426"/>
        </w:tabs>
        <w:spacing w:line="276" w:lineRule="auto"/>
        <w:ind w:left="0" w:right="-1220" w:hanging="2"/>
        <w:jc w:val="both"/>
        <w:rPr>
          <w:rFonts w:ascii="Titillium Web" w:eastAsia="Titillium Web" w:hAnsi="Titillium Web" w:cs="Titillium Web"/>
          <w:color w:val="000000"/>
          <w:sz w:val="22"/>
          <w:szCs w:val="22"/>
          <w:highlight w:val="white"/>
        </w:rPr>
      </w:pPr>
      <w:r w:rsidRPr="00877927">
        <w:rPr>
          <w:rFonts w:ascii="Titillium Web" w:eastAsia="Titillium Web" w:hAnsi="Titillium Web" w:cs="Titillium Web"/>
          <w:color w:val="C00000"/>
          <w:sz w:val="22"/>
          <w:szCs w:val="22"/>
          <w:highlight w:val="white"/>
        </w:rPr>
        <w:t>[Eventuale</w:t>
      </w:r>
      <w:r w:rsidR="00877927" w:rsidRPr="00877927">
        <w:rPr>
          <w:rFonts w:ascii="Titillium Web" w:eastAsia="Titillium Web" w:hAnsi="Titillium Web" w:cs="Titillium Web"/>
          <w:color w:val="C00000"/>
          <w:sz w:val="22"/>
          <w:szCs w:val="22"/>
          <w:highlight w:val="white"/>
        </w:rPr>
        <w:t xml:space="preserve"> </w:t>
      </w:r>
      <w:r w:rsidR="00877927" w:rsidRPr="00877927">
        <w:rPr>
          <w:rFonts w:ascii="Titillium Web" w:eastAsia="Titillium Web" w:hAnsi="Titillium Web" w:cs="Titillium Web"/>
          <w:sz w:val="22"/>
          <w:szCs w:val="22"/>
          <w:highlight w:val="white"/>
        </w:rPr>
        <w:t>i pagamenti di somme relative all’appalto, di cui al presente contratto, saranno effettuati dall’amministrazione a favore dell’impresa, ai sensi dell’art. ... del capitolato speciale d’appalto, con le seguenti scadenze e modalità ______________(</w:t>
      </w:r>
      <w:r w:rsidR="00877927" w:rsidRPr="00877927">
        <w:rPr>
          <w:rFonts w:ascii="Titillium Web" w:eastAsia="Titillium Web" w:hAnsi="Titillium Web" w:cs="Titillium Web"/>
          <w:i/>
          <w:iCs/>
          <w:sz w:val="22"/>
          <w:szCs w:val="22"/>
          <w:highlight w:val="white"/>
        </w:rPr>
        <w:t>indicare</w:t>
      </w:r>
      <w:r w:rsidR="00877927" w:rsidRPr="00877927">
        <w:rPr>
          <w:rFonts w:ascii="Titillium Web" w:eastAsia="Titillium Web" w:hAnsi="Titillium Web" w:cs="Titillium Web"/>
          <w:sz w:val="22"/>
          <w:szCs w:val="22"/>
          <w:highlight w:val="white"/>
        </w:rPr>
        <w:t>)</w:t>
      </w:r>
      <w:r w:rsidR="00877927" w:rsidRPr="00877927">
        <w:rPr>
          <w:rFonts w:ascii="Titillium Web" w:eastAsia="Titillium Web" w:hAnsi="Titillium Web" w:cs="Titillium Web"/>
          <w:color w:val="C00000"/>
          <w:sz w:val="22"/>
          <w:szCs w:val="22"/>
          <w:highlight w:val="white"/>
        </w:rPr>
        <w:t>]</w:t>
      </w:r>
      <w:r w:rsidR="00877927">
        <w:rPr>
          <w:rFonts w:ascii="Titillium Web" w:eastAsia="Titillium Web" w:hAnsi="Titillium Web" w:cs="Titillium Web"/>
          <w:sz w:val="22"/>
          <w:szCs w:val="22"/>
          <w:highlight w:val="white"/>
        </w:rPr>
        <w:t>.</w:t>
      </w:r>
    </w:p>
    <w:p w14:paraId="1C1DAB6F" w14:textId="77777777" w:rsidR="00BC74F4" w:rsidRDefault="007477EA">
      <w:pPr>
        <w:widowControl w:val="0"/>
        <w:pBdr>
          <w:top w:val="nil"/>
          <w:left w:val="nil"/>
          <w:bottom w:val="nil"/>
          <w:right w:val="nil"/>
          <w:between w:val="nil"/>
        </w:pBdr>
        <w:tabs>
          <w:tab w:val="left" w:pos="426"/>
        </w:tabs>
        <w:spacing w:line="276" w:lineRule="auto"/>
        <w:ind w:left="0" w:right="-1220" w:hanging="2"/>
        <w:jc w:val="both"/>
        <w:rPr>
          <w:rFonts w:ascii="Titillium Web" w:eastAsia="Titillium Web" w:hAnsi="Titillium Web" w:cs="Titillium Web"/>
          <w:sz w:val="22"/>
          <w:szCs w:val="22"/>
          <w:highlight w:val="white"/>
        </w:rPr>
      </w:pPr>
      <w:r w:rsidRPr="00877927">
        <w:rPr>
          <w:rFonts w:ascii="Titillium Web" w:eastAsia="Titillium Web" w:hAnsi="Titillium Web" w:cs="Titillium Web"/>
          <w:color w:val="000000"/>
          <w:sz w:val="22"/>
          <w:szCs w:val="22"/>
          <w:highlight w:val="white"/>
        </w:rPr>
        <w:t>La</w:t>
      </w:r>
      <w:r>
        <w:rPr>
          <w:rFonts w:ascii="Titillium Web" w:eastAsia="Titillium Web" w:hAnsi="Titillium Web" w:cs="Titillium Web"/>
          <w:color w:val="000000"/>
          <w:sz w:val="22"/>
          <w:szCs w:val="22"/>
          <w:highlight w:val="white"/>
        </w:rPr>
        <w:t xml:space="preserve"> verifica finale della conformità della fornitura resa sarà effettuata a cura del Responsabile Unico del Procedimento</w:t>
      </w:r>
      <w:r w:rsidRPr="00877927">
        <w:rPr>
          <w:rFonts w:ascii="Titillium Web" w:eastAsia="Titillium Web" w:hAnsi="Titillium Web" w:cs="Titillium Web"/>
          <w:color w:val="000000"/>
          <w:sz w:val="22"/>
          <w:szCs w:val="22"/>
          <w:highlight w:val="white"/>
        </w:rPr>
        <w:t xml:space="preserve"> e del </w:t>
      </w:r>
      <w:r>
        <w:rPr>
          <w:rFonts w:ascii="Titillium Web" w:eastAsia="Titillium Web" w:hAnsi="Titillium Web" w:cs="Titillium Web"/>
          <w:color w:val="000000"/>
          <w:sz w:val="22"/>
          <w:szCs w:val="22"/>
          <w:highlight w:val="white"/>
        </w:rPr>
        <w:t xml:space="preserve">Direttore dell’Esecuzione, indicato al successivo articolo ______, entro </w:t>
      </w:r>
      <w:r w:rsidRPr="00877927">
        <w:rPr>
          <w:rFonts w:ascii="Titillium Web" w:eastAsia="Titillium Web" w:hAnsi="Titillium Web" w:cs="Titillium Web"/>
          <w:color w:val="000000"/>
          <w:sz w:val="22"/>
          <w:szCs w:val="22"/>
          <w:highlight w:val="white"/>
        </w:rPr>
        <w:t xml:space="preserve">_____ </w:t>
      </w:r>
      <w:proofErr w:type="gramStart"/>
      <w:r>
        <w:rPr>
          <w:rFonts w:ascii="Titillium Web" w:eastAsia="Titillium Web" w:hAnsi="Titillium Web" w:cs="Titillium Web"/>
          <w:color w:val="000000"/>
          <w:sz w:val="22"/>
          <w:szCs w:val="22"/>
          <w:highlight w:val="white"/>
        </w:rPr>
        <w:t>(….</w:t>
      </w:r>
      <w:proofErr w:type="gramEnd"/>
      <w:r>
        <w:rPr>
          <w:rFonts w:ascii="Titillium Web" w:eastAsia="Titillium Web" w:hAnsi="Titillium Web" w:cs="Titillium Web"/>
          <w:color w:val="000000"/>
          <w:sz w:val="22"/>
          <w:szCs w:val="22"/>
          <w:highlight w:val="white"/>
        </w:rPr>
        <w:t>) giorni dalla data di consegna dei prodotti.</w:t>
      </w:r>
    </w:p>
    <w:p w14:paraId="39467AB8" w14:textId="4654EDF1" w:rsidR="00BC74F4" w:rsidRDefault="007477EA">
      <w:pPr>
        <w:widowControl w:val="0"/>
        <w:pBdr>
          <w:top w:val="nil"/>
          <w:left w:val="nil"/>
          <w:bottom w:val="nil"/>
          <w:right w:val="nil"/>
          <w:between w:val="nil"/>
        </w:pBdr>
        <w:tabs>
          <w:tab w:val="left" w:pos="426"/>
        </w:tabs>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Qualora tale verifica dia esito positivo, l’OPERATORE ECONOMICO sarà autorizzata per iscritto da parte del Responsabile Unico del Procedimento, che avrà rilasciato il relativo certificato di pagamento, ad emettere fattura in formato elettronico. L’INAF provvederà al pagamento del corrispettivo, dietro il previo invio di regolare fattura da parte dell’Operatore economico</w:t>
      </w:r>
      <w:r>
        <w:rPr>
          <w:rFonts w:ascii="Titillium Web" w:eastAsia="Titillium Web" w:hAnsi="Titillium Web" w:cs="Titillium Web"/>
          <w:b/>
          <w:color w:val="C00000"/>
          <w:sz w:val="22"/>
          <w:szCs w:val="22"/>
          <w:highlight w:val="white"/>
        </w:rPr>
        <w:t xml:space="preserve"> [o in alternativa: </w:t>
      </w:r>
      <w:r>
        <w:rPr>
          <w:rFonts w:ascii="Titillium Web" w:eastAsia="Titillium Web" w:hAnsi="Titillium Web" w:cs="Titillium Web"/>
          <w:color w:val="000000"/>
          <w:sz w:val="22"/>
          <w:szCs w:val="22"/>
          <w:highlight w:val="white"/>
        </w:rPr>
        <w:t xml:space="preserve">del </w:t>
      </w:r>
      <w:r>
        <w:rPr>
          <w:rFonts w:ascii="Titillium Web" w:eastAsia="Titillium Web" w:hAnsi="Titillium Web" w:cs="Titillium Web"/>
          <w:color w:val="000000"/>
          <w:sz w:val="22"/>
          <w:szCs w:val="22"/>
          <w:highlight w:val="white"/>
        </w:rPr>
        <w:t>componente del R.T.I. al quale la prestazione resa è imputabile</w:t>
      </w:r>
      <w:r>
        <w:rPr>
          <w:rFonts w:ascii="Titillium Web" w:eastAsia="Titillium Web" w:hAnsi="Titillium Web" w:cs="Titillium Web"/>
          <w:color w:val="C00000"/>
          <w:sz w:val="22"/>
          <w:szCs w:val="22"/>
          <w:highlight w:val="white"/>
        </w:rPr>
        <w:t>].</w:t>
      </w:r>
      <w:r>
        <w:rPr>
          <w:rFonts w:ascii="Titillium Web" w:eastAsia="Titillium Web" w:hAnsi="Titillium Web" w:cs="Titillium Web"/>
          <w:b/>
          <w:color w:val="C00000"/>
          <w:sz w:val="22"/>
          <w:szCs w:val="22"/>
          <w:highlight w:val="white"/>
        </w:rPr>
        <w:t xml:space="preserve"> </w:t>
      </w:r>
      <w:r>
        <w:rPr>
          <w:rFonts w:ascii="Titillium Web" w:eastAsia="Titillium Web" w:hAnsi="Titillium Web" w:cs="Titillium Web"/>
          <w:color w:val="000000"/>
          <w:sz w:val="22"/>
          <w:szCs w:val="22"/>
          <w:highlight w:val="white"/>
        </w:rPr>
        <w:t xml:space="preserve">Tutte le fatture dovranno essere trasmesse tramite il Sistema di Interscambio (SdI) dell’Agenzia delle Entrate, utilizzando il Codice Univoco Ufficio (CUU): </w:t>
      </w:r>
      <w:r>
        <w:rPr>
          <w:rFonts w:ascii="Titillium Web" w:eastAsia="Titillium Web" w:hAnsi="Titillium Web" w:cs="Titillium Web"/>
          <w:b/>
          <w:color w:val="000000"/>
          <w:sz w:val="22"/>
          <w:szCs w:val="22"/>
          <w:highlight w:val="white"/>
        </w:rPr>
        <w:t>…….</w:t>
      </w:r>
      <w:r>
        <w:rPr>
          <w:rFonts w:ascii="Titillium Web" w:eastAsia="Titillium Web" w:hAnsi="Titillium Web" w:cs="Titillium Web"/>
          <w:color w:val="000000"/>
          <w:sz w:val="22"/>
          <w:szCs w:val="22"/>
          <w:highlight w:val="white"/>
        </w:rPr>
        <w:t xml:space="preserve"> e riportando nel Campo Esigibilità IVA la lettera “S”. Il pagamento del corrispettivo sarà effettuato, mediante bonifico bancario su conto corrente dedicato, anche in via non esclusiva, alle commesse pubbliche che l’OPERATORE ECONOMICO provvederà ad indicare ad INAF entro 7 (sette) gi</w:t>
      </w:r>
      <w:r>
        <w:rPr>
          <w:rFonts w:ascii="Titillium Web" w:eastAsia="Titillium Web" w:hAnsi="Titillium Web" w:cs="Titillium Web"/>
          <w:color w:val="000000"/>
          <w:sz w:val="22"/>
          <w:szCs w:val="22"/>
          <w:highlight w:val="white"/>
        </w:rPr>
        <w:t xml:space="preserve">orni dalla data della sua accensione. L’OPERATORE ECONOMICO dovrà inoltre comunicare entro lo stesso termine le generalità e il codice fiscale delle persone delegate ad operare su di esso. Ai sensi della legge numero 136/2010 e successive modifiche ed integrazioni, l’OPERATORE ECONOMICO si obbliga, </w:t>
      </w:r>
      <w:r>
        <w:rPr>
          <w:rFonts w:ascii="Titillium Web" w:eastAsia="Titillium Web" w:hAnsi="Titillium Web" w:cs="Titillium Web"/>
          <w:b/>
          <w:color w:val="C00000"/>
          <w:sz w:val="22"/>
          <w:szCs w:val="22"/>
          <w:highlight w:val="white"/>
        </w:rPr>
        <w:t>[Eventuale</w:t>
      </w:r>
      <w:r>
        <w:rPr>
          <w:rFonts w:ascii="Titillium Web" w:eastAsia="Titillium Web" w:hAnsi="Titillium Web" w:cs="Titillium Web"/>
          <w:color w:val="000000"/>
          <w:sz w:val="22"/>
          <w:szCs w:val="22"/>
          <w:highlight w:val="white"/>
        </w:rPr>
        <w:t>: anche nei confronti di eventuali subcontraenti, subappaltatori</w:t>
      </w:r>
      <w:r>
        <w:rPr>
          <w:rFonts w:ascii="Titillium Web" w:eastAsia="Titillium Web" w:hAnsi="Titillium Web" w:cs="Titillium Web"/>
          <w:b/>
          <w:color w:val="C00000"/>
          <w:sz w:val="22"/>
          <w:szCs w:val="22"/>
          <w:highlight w:val="white"/>
        </w:rPr>
        <w:t>]</w:t>
      </w:r>
      <w:r>
        <w:rPr>
          <w:rFonts w:ascii="Titillium Web" w:eastAsia="Titillium Web" w:hAnsi="Titillium Web" w:cs="Titillium Web"/>
          <w:color w:val="000000"/>
          <w:sz w:val="22"/>
          <w:szCs w:val="22"/>
          <w:highlight w:val="white"/>
        </w:rPr>
        <w:t xml:space="preserve">, a garantire la tracciabilità dei flussi finanziari relativi al presente appalto (CIG numero ……. e CUP numero </w:t>
      </w:r>
      <w:r w:rsidR="00877927">
        <w:rPr>
          <w:rFonts w:ascii="Titillium Web" w:eastAsia="Titillium Web" w:hAnsi="Titillium Web" w:cs="Titillium Web"/>
          <w:color w:val="000000"/>
          <w:sz w:val="22"/>
          <w:szCs w:val="22"/>
          <w:highlight w:val="white"/>
        </w:rPr>
        <w:t>……</w:t>
      </w:r>
      <w:r>
        <w:rPr>
          <w:rFonts w:ascii="Titillium Web" w:eastAsia="Titillium Web" w:hAnsi="Titillium Web" w:cs="Titillium Web"/>
          <w:color w:val="000000"/>
          <w:sz w:val="22"/>
          <w:szCs w:val="22"/>
          <w:highlight w:val="white"/>
        </w:rPr>
        <w:t>), pena la risoluzione d</w:t>
      </w:r>
      <w:r>
        <w:rPr>
          <w:rFonts w:ascii="Titillium Web" w:eastAsia="Titillium Web" w:hAnsi="Titillium Web" w:cs="Titillium Web"/>
          <w:color w:val="000000"/>
          <w:sz w:val="22"/>
          <w:szCs w:val="22"/>
          <w:highlight w:val="white"/>
        </w:rPr>
        <w:t xml:space="preserve">el contratto. Il pagamento sarà subordinato alla verifica d’ufficio della regolarità contributiva dell’OPERATORE ECONOMICO nonché, alle verifiche previste dall’art. 48 bis del d.P.R. numero 602/1973 e successive modifiche ed integrazioni, da parte di INAF. L’OPERATORE ECONOMICO si impegna a comunicare tempestivamente all’INAF le eventuali variazioni delle coordinate bancarie, esonerando l’INAF in difetto di tale notifica, da ogni responsabilità per i pagamenti eseguiti, anche ove le </w:t>
      </w:r>
      <w:proofErr w:type="gramStart"/>
      <w:r>
        <w:rPr>
          <w:rFonts w:ascii="Titillium Web" w:eastAsia="Titillium Web" w:hAnsi="Titillium Web" w:cs="Titillium Web"/>
          <w:color w:val="000000"/>
          <w:sz w:val="22"/>
          <w:szCs w:val="22"/>
          <w:highlight w:val="white"/>
        </w:rPr>
        <w:t>predette</w:t>
      </w:r>
      <w:proofErr w:type="gramEnd"/>
      <w:r>
        <w:rPr>
          <w:rFonts w:ascii="Titillium Web" w:eastAsia="Titillium Web" w:hAnsi="Titillium Web" w:cs="Titillium Web"/>
          <w:color w:val="000000"/>
          <w:sz w:val="22"/>
          <w:szCs w:val="22"/>
          <w:highlight w:val="white"/>
        </w:rPr>
        <w:t xml:space="preserve"> variazioni sian</w:t>
      </w:r>
      <w:r>
        <w:rPr>
          <w:rFonts w:ascii="Titillium Web" w:eastAsia="Titillium Web" w:hAnsi="Titillium Web" w:cs="Titillium Web"/>
          <w:color w:val="000000"/>
          <w:sz w:val="22"/>
          <w:szCs w:val="22"/>
          <w:highlight w:val="white"/>
        </w:rPr>
        <w:t xml:space="preserve">o pubblicate nei modi di legge. </w:t>
      </w:r>
    </w:p>
    <w:p w14:paraId="5FDEC3ED" w14:textId="77777777" w:rsidR="00BC74F4" w:rsidRDefault="00BC74F4">
      <w:pPr>
        <w:widowControl w:val="0"/>
        <w:pBdr>
          <w:top w:val="nil"/>
          <w:left w:val="nil"/>
          <w:bottom w:val="nil"/>
          <w:right w:val="nil"/>
          <w:between w:val="nil"/>
        </w:pBdr>
        <w:tabs>
          <w:tab w:val="left" w:pos="426"/>
        </w:tabs>
        <w:spacing w:line="276" w:lineRule="auto"/>
        <w:ind w:left="0" w:right="-1220" w:hanging="2"/>
        <w:jc w:val="both"/>
        <w:rPr>
          <w:rFonts w:ascii="Titillium Web" w:eastAsia="Titillium Web" w:hAnsi="Titillium Web" w:cs="Titillium Web"/>
          <w:sz w:val="22"/>
          <w:szCs w:val="22"/>
          <w:highlight w:val="white"/>
        </w:rPr>
      </w:pPr>
    </w:p>
    <w:p w14:paraId="000F4833" w14:textId="77777777" w:rsidR="00BC74F4" w:rsidRDefault="007477EA">
      <w:pPr>
        <w:pBdr>
          <w:top w:val="nil"/>
          <w:left w:val="nil"/>
          <w:bottom w:val="nil"/>
          <w:right w:val="nil"/>
          <w:between w:val="nil"/>
        </w:pBdr>
        <w:tabs>
          <w:tab w:val="left" w:pos="426"/>
        </w:tabs>
        <w:spacing w:line="276" w:lineRule="auto"/>
        <w:ind w:left="0" w:right="-1220" w:hanging="2"/>
        <w:jc w:val="center"/>
        <w:rPr>
          <w:rFonts w:ascii="Titillium Web" w:eastAsia="Titillium Web" w:hAnsi="Titillium Web" w:cs="Titillium Web"/>
          <w:b/>
          <w:color w:val="000000"/>
          <w:sz w:val="22"/>
          <w:szCs w:val="22"/>
          <w:highlight w:val="white"/>
        </w:rPr>
      </w:pPr>
      <w:r>
        <w:rPr>
          <w:rFonts w:ascii="Titillium Web" w:eastAsia="Titillium Web" w:hAnsi="Titillium Web" w:cs="Titillium Web"/>
          <w:b/>
          <w:color w:val="000000"/>
          <w:sz w:val="22"/>
          <w:szCs w:val="22"/>
          <w:highlight w:val="white"/>
          <w:u w:val="single"/>
        </w:rPr>
        <w:t>Art. Garanzia della fornitura</w:t>
      </w:r>
    </w:p>
    <w:p w14:paraId="65516B9F" w14:textId="77777777" w:rsidR="00BC74F4" w:rsidRDefault="007477EA">
      <w:pPr>
        <w:pBdr>
          <w:top w:val="nil"/>
          <w:left w:val="nil"/>
          <w:bottom w:val="nil"/>
          <w:right w:val="nil"/>
          <w:between w:val="nil"/>
        </w:pBdr>
        <w:tabs>
          <w:tab w:val="left" w:pos="426"/>
        </w:tabs>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lastRenderedPageBreak/>
        <w:t xml:space="preserve">L’OPERATORE ECONOMICO garantisce la fornitura oggetto del presente Contratto per la durata di 12 (dodici) mesi dalla data di emissione del certificato di verifica di conformità. </w:t>
      </w:r>
      <w:r>
        <w:rPr>
          <w:rFonts w:ascii="Titillium Web" w:eastAsia="Titillium Web" w:hAnsi="Titillium Web" w:cs="Titillium Web"/>
          <w:color w:val="000000"/>
          <w:sz w:val="22"/>
          <w:szCs w:val="22"/>
          <w:highlight w:val="white"/>
        </w:rPr>
        <w:t>L’OPERATORE ECONOMICO si impegna a sostituire a sua cura e spese quelle parti della fornitura che, per difetto di lavorazione e/o qualità di materiale, risultassero non idonee o difettose, nonché ad effettuare tutte le prestazioni conseguenti.</w:t>
      </w:r>
    </w:p>
    <w:p w14:paraId="7F9A9B36" w14:textId="77777777" w:rsidR="00BC74F4" w:rsidRDefault="00BC74F4">
      <w:pPr>
        <w:pBdr>
          <w:top w:val="nil"/>
          <w:left w:val="nil"/>
          <w:bottom w:val="nil"/>
          <w:right w:val="nil"/>
          <w:between w:val="nil"/>
        </w:pBdr>
        <w:tabs>
          <w:tab w:val="left" w:pos="426"/>
        </w:tabs>
        <w:spacing w:line="276" w:lineRule="auto"/>
        <w:ind w:left="0" w:right="-1220" w:hanging="2"/>
        <w:jc w:val="both"/>
        <w:rPr>
          <w:rFonts w:ascii="Titillium Web" w:eastAsia="Titillium Web" w:hAnsi="Titillium Web" w:cs="Titillium Web"/>
          <w:color w:val="000000"/>
          <w:sz w:val="22"/>
          <w:szCs w:val="22"/>
          <w:highlight w:val="white"/>
        </w:rPr>
      </w:pPr>
    </w:p>
    <w:p w14:paraId="69415609" w14:textId="77777777" w:rsidR="00BC74F4" w:rsidRDefault="007477EA">
      <w:pPr>
        <w:keepNext/>
        <w:widowControl w:val="0"/>
        <w:pBdr>
          <w:top w:val="nil"/>
          <w:left w:val="nil"/>
          <w:bottom w:val="nil"/>
          <w:right w:val="nil"/>
          <w:between w:val="nil"/>
        </w:pBdr>
        <w:tabs>
          <w:tab w:val="left" w:pos="426"/>
        </w:tabs>
        <w:spacing w:line="276" w:lineRule="auto"/>
        <w:ind w:left="0" w:right="-1220" w:hanging="2"/>
        <w:jc w:val="center"/>
        <w:rPr>
          <w:rFonts w:ascii="Titillium Web" w:eastAsia="Titillium Web" w:hAnsi="Titillium Web" w:cs="Titillium Web"/>
          <w:color w:val="000000"/>
          <w:sz w:val="22"/>
          <w:szCs w:val="22"/>
          <w:highlight w:val="white"/>
        </w:rPr>
      </w:pPr>
      <w:r>
        <w:rPr>
          <w:rFonts w:ascii="Titillium Web" w:eastAsia="Titillium Web" w:hAnsi="Titillium Web" w:cs="Titillium Web"/>
          <w:b/>
          <w:color w:val="000000"/>
          <w:sz w:val="22"/>
          <w:szCs w:val="22"/>
          <w:highlight w:val="white"/>
        </w:rPr>
        <w:t xml:space="preserve">Art. </w:t>
      </w:r>
      <w:r>
        <w:rPr>
          <w:rFonts w:ascii="Titillium Web" w:eastAsia="Titillium Web" w:hAnsi="Titillium Web" w:cs="Titillium Web"/>
          <w:b/>
          <w:color w:val="000000"/>
          <w:sz w:val="22"/>
          <w:szCs w:val="22"/>
          <w:highlight w:val="white"/>
          <w:u w:val="single"/>
        </w:rPr>
        <w:t>Composizione societaria</w:t>
      </w:r>
    </w:p>
    <w:p w14:paraId="0A8E7502" w14:textId="77777777" w:rsidR="00BC74F4" w:rsidRDefault="007477EA">
      <w:pPr>
        <w:keepNext/>
        <w:widowControl w:val="0"/>
        <w:pBdr>
          <w:top w:val="nil"/>
          <w:left w:val="nil"/>
          <w:bottom w:val="nil"/>
          <w:right w:val="nil"/>
          <w:between w:val="nil"/>
        </w:pBdr>
        <w:tabs>
          <w:tab w:val="left" w:pos="426"/>
        </w:tabs>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L'OPERATORE ECONOMICO si impegna a comunicare all'INAF le eventuali variazioni nella composizione societaria di entità superiore al 2% (due per cento) rispetto a quanto comunicato al momento della stipula del Contratto, ai sensi e per gli effetti di quanto stabilito dal DPCM numero 187/1991. L’inosservanza di tale obbligo determina la risoluzione di diritto del Contratto, salvo il risarcimento degli eventuali danni subiti dall’INAF.</w:t>
      </w:r>
    </w:p>
    <w:p w14:paraId="162B8A1F" w14:textId="77777777" w:rsidR="00BC74F4" w:rsidRDefault="00BC74F4">
      <w:pPr>
        <w:keepNext/>
        <w:widowControl w:val="0"/>
        <w:pBdr>
          <w:top w:val="nil"/>
          <w:left w:val="nil"/>
          <w:bottom w:val="nil"/>
          <w:right w:val="nil"/>
          <w:between w:val="nil"/>
        </w:pBdr>
        <w:tabs>
          <w:tab w:val="left" w:pos="426"/>
        </w:tabs>
        <w:spacing w:line="276" w:lineRule="auto"/>
        <w:ind w:left="0" w:right="-1220" w:hanging="2"/>
        <w:jc w:val="both"/>
        <w:rPr>
          <w:rFonts w:ascii="Titillium Web" w:eastAsia="Titillium Web" w:hAnsi="Titillium Web" w:cs="Titillium Web"/>
          <w:color w:val="000000"/>
          <w:sz w:val="22"/>
          <w:szCs w:val="22"/>
          <w:highlight w:val="white"/>
        </w:rPr>
      </w:pPr>
    </w:p>
    <w:p w14:paraId="1F5E8A2D" w14:textId="77777777" w:rsidR="00BC74F4" w:rsidRDefault="007477EA">
      <w:pPr>
        <w:keepNext/>
        <w:widowControl w:val="0"/>
        <w:pBdr>
          <w:top w:val="nil"/>
          <w:left w:val="nil"/>
          <w:bottom w:val="nil"/>
          <w:right w:val="nil"/>
          <w:between w:val="nil"/>
        </w:pBdr>
        <w:spacing w:line="276" w:lineRule="auto"/>
        <w:ind w:left="0" w:right="-1220" w:hanging="2"/>
        <w:jc w:val="center"/>
        <w:rPr>
          <w:rFonts w:ascii="Titillium Web" w:eastAsia="Titillium Web" w:hAnsi="Titillium Web" w:cs="Titillium Web"/>
          <w:color w:val="000000"/>
          <w:sz w:val="22"/>
          <w:szCs w:val="22"/>
          <w:highlight w:val="white"/>
        </w:rPr>
      </w:pPr>
      <w:r>
        <w:rPr>
          <w:rFonts w:ascii="Titillium Web" w:eastAsia="Titillium Web" w:hAnsi="Titillium Web" w:cs="Titillium Web"/>
          <w:b/>
          <w:color w:val="000000"/>
          <w:sz w:val="22"/>
          <w:szCs w:val="22"/>
          <w:highlight w:val="white"/>
          <w:u w:val="single"/>
        </w:rPr>
        <w:t>Art. Risoluzione e recesso</w:t>
      </w:r>
    </w:p>
    <w:p w14:paraId="08E79BB2" w14:textId="77777777" w:rsidR="00BC74F4" w:rsidRDefault="007477EA">
      <w:pPr>
        <w:keepNext/>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 xml:space="preserve">L'INAF si riserva il diritto di risolvere il presente Contratto, ai sensi e per gli effetti dell'art. 1456 del </w:t>
      </w:r>
      <w:proofErr w:type="gramStart"/>
      <w:r>
        <w:rPr>
          <w:rFonts w:ascii="Titillium Web" w:eastAsia="Titillium Web" w:hAnsi="Titillium Web" w:cs="Titillium Web"/>
          <w:color w:val="000000"/>
          <w:sz w:val="22"/>
          <w:szCs w:val="22"/>
          <w:highlight w:val="white"/>
        </w:rPr>
        <w:t>Codice Civile</w:t>
      </w:r>
      <w:proofErr w:type="gramEnd"/>
      <w:r>
        <w:rPr>
          <w:rFonts w:ascii="Titillium Web" w:eastAsia="Titillium Web" w:hAnsi="Titillium Web" w:cs="Titillium Web"/>
          <w:color w:val="000000"/>
          <w:sz w:val="22"/>
          <w:szCs w:val="22"/>
          <w:highlight w:val="white"/>
        </w:rPr>
        <w:t xml:space="preserve"> con comunicazione scritta da inviarsi con raccomandata con avviso di ricevimento (a/r) o mediante posta elettronica certificata (PEC), con un preavviso di 20 (venti) giorni, nei seguenti casi:</w:t>
      </w:r>
    </w:p>
    <w:p w14:paraId="384CA9BF" w14:textId="77777777" w:rsidR="00BC74F4" w:rsidRDefault="007477EA">
      <w:pPr>
        <w:numPr>
          <w:ilvl w:val="1"/>
          <w:numId w:val="9"/>
        </w:numPr>
        <w:pBdr>
          <w:top w:val="nil"/>
          <w:left w:val="nil"/>
          <w:bottom w:val="nil"/>
          <w:right w:val="nil"/>
          <w:between w:val="nil"/>
        </w:pBdr>
        <w:tabs>
          <w:tab w:val="left" w:pos="284"/>
          <w:tab w:val="left" w:pos="426"/>
        </w:tabs>
        <w:spacing w:line="276" w:lineRule="auto"/>
        <w:ind w:left="0" w:right="-1220" w:hanging="2"/>
        <w:jc w:val="both"/>
        <w:rPr>
          <w:rFonts w:ascii="Titillium Web" w:eastAsia="Titillium Web" w:hAnsi="Titillium Web" w:cs="Titillium Web"/>
          <w:sz w:val="22"/>
          <w:szCs w:val="22"/>
          <w:highlight w:val="white"/>
        </w:rPr>
      </w:pPr>
      <w:r>
        <w:rPr>
          <w:rFonts w:ascii="Titillium Web" w:eastAsia="Titillium Web" w:hAnsi="Titillium Web" w:cs="Titillium Web"/>
          <w:color w:val="000000"/>
          <w:sz w:val="22"/>
          <w:szCs w:val="22"/>
          <w:highlight w:val="white"/>
        </w:rPr>
        <w:t xml:space="preserve"> reiterati e aggravati inadempimenti imputabili all’OPERATORE ECONOMICO, comprovati da almeno 3 (tre) documenti di contestazione ufficiale;</w:t>
      </w:r>
    </w:p>
    <w:p w14:paraId="7018D30F" w14:textId="77777777" w:rsidR="00BC74F4" w:rsidRDefault="007477EA">
      <w:pPr>
        <w:numPr>
          <w:ilvl w:val="1"/>
          <w:numId w:val="9"/>
        </w:numPr>
        <w:pBdr>
          <w:top w:val="nil"/>
          <w:left w:val="nil"/>
          <w:bottom w:val="nil"/>
          <w:right w:val="nil"/>
          <w:between w:val="nil"/>
        </w:pBdr>
        <w:tabs>
          <w:tab w:val="left" w:pos="284"/>
          <w:tab w:val="left" w:pos="426"/>
        </w:tabs>
        <w:spacing w:line="276" w:lineRule="auto"/>
        <w:ind w:left="0" w:right="-1220" w:hanging="2"/>
        <w:jc w:val="both"/>
        <w:rPr>
          <w:rFonts w:ascii="Titillium Web" w:eastAsia="Titillium Web" w:hAnsi="Titillium Web" w:cs="Titillium Web"/>
          <w:sz w:val="22"/>
          <w:szCs w:val="22"/>
          <w:highlight w:val="white"/>
        </w:rPr>
      </w:pPr>
      <w:r>
        <w:rPr>
          <w:rFonts w:ascii="Titillium Web" w:eastAsia="Titillium Web" w:hAnsi="Titillium Web" w:cs="Titillium Web"/>
          <w:color w:val="000000"/>
          <w:sz w:val="22"/>
          <w:szCs w:val="22"/>
          <w:highlight w:val="white"/>
        </w:rPr>
        <w:t>qualora nei confronti dell’appaltatore sia intervenuta l’emanazione di un provvedimento definitivo che dispone l’applicazione di una o più misure di prevenzione di cui all’art. 67 e seguenti del D.lgs. numero 159/2011 e successive modifiche ed integrazioni, ovvero sia intervenuta sentenza di condanna passata in giudicato per frodi nei riguardi della Stazione Appaltante, di subcontraenti, di subappaltatori, di fornitori, di lavoratori o di altri soggetti comunque interessati all’appalto, nonché per violazion</w:t>
      </w:r>
      <w:r>
        <w:rPr>
          <w:rFonts w:ascii="Titillium Web" w:eastAsia="Titillium Web" w:hAnsi="Titillium Web" w:cs="Titillium Web"/>
          <w:color w:val="000000"/>
          <w:sz w:val="22"/>
          <w:szCs w:val="22"/>
          <w:highlight w:val="white"/>
        </w:rPr>
        <w:t xml:space="preserve">i gravi degli obblighi attinenti alla sicurezza sul lavoro; </w:t>
      </w:r>
    </w:p>
    <w:p w14:paraId="0365DC04" w14:textId="77777777" w:rsidR="00BC74F4" w:rsidRDefault="007477EA">
      <w:pPr>
        <w:keepNext/>
        <w:widowControl w:val="0"/>
        <w:numPr>
          <w:ilvl w:val="1"/>
          <w:numId w:val="9"/>
        </w:numPr>
        <w:pBdr>
          <w:top w:val="nil"/>
          <w:left w:val="nil"/>
          <w:bottom w:val="nil"/>
          <w:right w:val="nil"/>
          <w:between w:val="nil"/>
        </w:pBdr>
        <w:spacing w:line="276" w:lineRule="auto"/>
        <w:ind w:left="0" w:right="-1220" w:hanging="2"/>
        <w:jc w:val="both"/>
        <w:rPr>
          <w:rFonts w:ascii="Titillium Web" w:eastAsia="Titillium Web" w:hAnsi="Titillium Web" w:cs="Titillium Web"/>
          <w:sz w:val="22"/>
          <w:szCs w:val="22"/>
          <w:highlight w:val="white"/>
        </w:rPr>
      </w:pPr>
      <w:r>
        <w:rPr>
          <w:rFonts w:ascii="Titillium Web" w:eastAsia="Titillium Web" w:hAnsi="Titillium Web" w:cs="Titillium Web"/>
          <w:color w:val="000000"/>
          <w:sz w:val="22"/>
          <w:szCs w:val="22"/>
          <w:highlight w:val="white"/>
        </w:rPr>
        <w:t xml:space="preserve">per l’intervenuto accertamento in via definitiva di violazioni gravi alla normativa previdenziale ed assicurativa, nonché al pagamento di imposte e tasse. Restano in ogni caso impregiudicati i diritti dell’INAF al risarcimento di eventuali ulteriori danni e all’incameramento della garanzia fideiussoria. </w:t>
      </w:r>
    </w:p>
    <w:p w14:paraId="75B638C7" w14:textId="77777777" w:rsidR="00BC74F4" w:rsidRDefault="007477EA">
      <w:pPr>
        <w:keepNext/>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sz w:val="22"/>
          <w:szCs w:val="22"/>
          <w:highlight w:val="white"/>
        </w:rPr>
      </w:pPr>
      <w:r>
        <w:rPr>
          <w:rFonts w:ascii="Titillium Web" w:eastAsia="Titillium Web" w:hAnsi="Titillium Web" w:cs="Titillium Web"/>
          <w:color w:val="000000"/>
          <w:sz w:val="22"/>
          <w:szCs w:val="22"/>
          <w:highlight w:val="white"/>
        </w:rPr>
        <w:t xml:space="preserve">L’INAF si riserva la facoltà di risolvere il contratto </w:t>
      </w:r>
      <w:r>
        <w:rPr>
          <w:rFonts w:ascii="Titillium Web" w:eastAsia="Titillium Web" w:hAnsi="Titillium Web" w:cs="Titillium Web"/>
          <w:sz w:val="22"/>
          <w:szCs w:val="22"/>
          <w:highlight w:val="white"/>
        </w:rPr>
        <w:t>in tutti gli altri casi previsti dalla legge.</w:t>
      </w:r>
    </w:p>
    <w:p w14:paraId="6AAD1464" w14:textId="77777777" w:rsidR="00BC74F4" w:rsidRDefault="007477EA">
      <w:pPr>
        <w:keepNext/>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 xml:space="preserve">L'INAF si riserva, inoltre, il diritto di recedere unilateralmente dal Contratto in qualsiasi momento senza </w:t>
      </w:r>
      <w:r>
        <w:rPr>
          <w:rFonts w:ascii="Titillium Web" w:eastAsia="Titillium Web" w:hAnsi="Titillium Web" w:cs="Titillium Web"/>
          <w:color w:val="000000"/>
          <w:sz w:val="22"/>
          <w:szCs w:val="22"/>
          <w:highlight w:val="white"/>
        </w:rPr>
        <w:lastRenderedPageBreak/>
        <w:t xml:space="preserve">alcun onere a suo carico, con un preavviso di almeno 20 (venti) giorni solari, da comunicarsi all'OPERATORE ECONOMICO mediante raccomandata con avviso di ricevimento (a/r) o mediante posta elettronica certificata (PEC). In caso di recesso all'OPERATORE ECONOMICO, spetterà il corrispettivo </w:t>
      </w:r>
      <w:r>
        <w:rPr>
          <w:rFonts w:ascii="Titillium Web" w:eastAsia="Titillium Web" w:hAnsi="Titillium Web" w:cs="Titillium Web"/>
          <w:sz w:val="22"/>
          <w:szCs w:val="22"/>
          <w:highlight w:val="white"/>
        </w:rPr>
        <w:t>nei limiti di quanto stabilito dalle norme di legge</w:t>
      </w:r>
      <w:r>
        <w:rPr>
          <w:rFonts w:ascii="Titillium Web" w:eastAsia="Titillium Web" w:hAnsi="Titillium Web" w:cs="Titillium Web"/>
          <w:color w:val="000000"/>
          <w:sz w:val="22"/>
          <w:szCs w:val="22"/>
          <w:highlight w:val="white"/>
        </w:rPr>
        <w:t xml:space="preserve">. </w:t>
      </w:r>
    </w:p>
    <w:p w14:paraId="0CF421F7" w14:textId="77777777" w:rsidR="00BC74F4" w:rsidRDefault="00BC74F4">
      <w:pPr>
        <w:keepNext/>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color w:val="FF0000"/>
          <w:sz w:val="22"/>
          <w:szCs w:val="22"/>
          <w:highlight w:val="white"/>
        </w:rPr>
      </w:pPr>
    </w:p>
    <w:p w14:paraId="0CC7A7D9" w14:textId="77777777" w:rsidR="00BC74F4" w:rsidRDefault="007477EA">
      <w:pPr>
        <w:keepNext/>
        <w:widowControl w:val="0"/>
        <w:pBdr>
          <w:top w:val="nil"/>
          <w:left w:val="nil"/>
          <w:bottom w:val="nil"/>
          <w:right w:val="nil"/>
          <w:between w:val="nil"/>
        </w:pBdr>
        <w:spacing w:line="276" w:lineRule="auto"/>
        <w:ind w:left="0" w:right="-1220" w:hanging="2"/>
        <w:jc w:val="center"/>
        <w:rPr>
          <w:rFonts w:ascii="Titillium Web" w:eastAsia="Titillium Web" w:hAnsi="Titillium Web" w:cs="Titillium Web"/>
          <w:color w:val="000000"/>
          <w:sz w:val="22"/>
          <w:szCs w:val="22"/>
          <w:highlight w:val="white"/>
        </w:rPr>
      </w:pPr>
      <w:r>
        <w:rPr>
          <w:rFonts w:ascii="Titillium Web" w:eastAsia="Titillium Web" w:hAnsi="Titillium Web" w:cs="Titillium Web"/>
          <w:b/>
          <w:color w:val="000000"/>
          <w:sz w:val="22"/>
          <w:szCs w:val="22"/>
          <w:highlight w:val="white"/>
        </w:rPr>
        <w:t xml:space="preserve">Art.  </w:t>
      </w:r>
      <w:r>
        <w:rPr>
          <w:rFonts w:ascii="Titillium Web" w:eastAsia="Titillium Web" w:hAnsi="Titillium Web" w:cs="Titillium Web"/>
          <w:b/>
          <w:color w:val="000000"/>
          <w:sz w:val="22"/>
          <w:szCs w:val="22"/>
          <w:highlight w:val="white"/>
          <w:u w:val="single"/>
        </w:rPr>
        <w:t>Foro competente</w:t>
      </w:r>
    </w:p>
    <w:p w14:paraId="627EDC43" w14:textId="77777777" w:rsidR="00BC74F4" w:rsidRDefault="007477EA">
      <w:pPr>
        <w:keepNext/>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sz w:val="22"/>
          <w:szCs w:val="22"/>
          <w:highlight w:val="white"/>
        </w:rPr>
      </w:pPr>
      <w:r>
        <w:rPr>
          <w:rFonts w:ascii="Titillium Web" w:eastAsia="Titillium Web" w:hAnsi="Titillium Web" w:cs="Titillium Web"/>
          <w:color w:val="000000"/>
          <w:sz w:val="22"/>
          <w:szCs w:val="22"/>
          <w:highlight w:val="white"/>
        </w:rPr>
        <w:t>Per qualunque controversia diretta o indiretta in ordine all’interpretazione o all’esecuzione del presente Contratto è competente, in via esclusiva, il Foro di Roma.</w:t>
      </w:r>
    </w:p>
    <w:p w14:paraId="37D4EB87" w14:textId="77777777" w:rsidR="00BC74F4" w:rsidRDefault="00BC74F4">
      <w:pPr>
        <w:keepNext/>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sz w:val="22"/>
          <w:szCs w:val="22"/>
          <w:highlight w:val="white"/>
        </w:rPr>
      </w:pPr>
    </w:p>
    <w:p w14:paraId="7E5C772D" w14:textId="77777777" w:rsidR="00BC74F4" w:rsidRDefault="007477EA">
      <w:pPr>
        <w:pBdr>
          <w:top w:val="nil"/>
          <w:left w:val="nil"/>
          <w:bottom w:val="nil"/>
          <w:right w:val="nil"/>
          <w:between w:val="nil"/>
        </w:pBdr>
        <w:spacing w:line="276" w:lineRule="auto"/>
        <w:ind w:left="0" w:right="-1220" w:hanging="2"/>
        <w:jc w:val="center"/>
        <w:rPr>
          <w:rFonts w:ascii="Titillium Web" w:eastAsia="Titillium Web" w:hAnsi="Titillium Web" w:cs="Titillium Web"/>
          <w:color w:val="000000"/>
          <w:sz w:val="22"/>
          <w:szCs w:val="22"/>
          <w:highlight w:val="white"/>
        </w:rPr>
      </w:pPr>
      <w:r>
        <w:rPr>
          <w:rFonts w:ascii="Titillium Web" w:eastAsia="Titillium Web" w:hAnsi="Titillium Web" w:cs="Titillium Web"/>
          <w:b/>
          <w:color w:val="000000"/>
          <w:sz w:val="22"/>
          <w:szCs w:val="22"/>
          <w:highlight w:val="white"/>
        </w:rPr>
        <w:t xml:space="preserve">Art.  </w:t>
      </w:r>
      <w:r>
        <w:rPr>
          <w:rFonts w:ascii="Titillium Web" w:eastAsia="Titillium Web" w:hAnsi="Titillium Web" w:cs="Titillium Web"/>
          <w:b/>
          <w:color w:val="000000"/>
          <w:sz w:val="22"/>
          <w:szCs w:val="22"/>
          <w:highlight w:val="white"/>
          <w:u w:val="single"/>
        </w:rPr>
        <w:t>Spese contrattuali</w:t>
      </w:r>
    </w:p>
    <w:p w14:paraId="3C54F115" w14:textId="77777777" w:rsidR="00BC74F4" w:rsidRDefault="007477EA">
      <w:p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 xml:space="preserve">Sono a carico dell’OPERATORE ECONOMICO tutti gli oneri tributari e le spese contrattuali ivi comprese le spese relative all’imposta di bollo. Le spese per la registrazione, in caso d’uso, saranno a </w:t>
      </w:r>
      <w:r>
        <w:rPr>
          <w:rFonts w:ascii="Titillium Web" w:eastAsia="Titillium Web" w:hAnsi="Titillium Web" w:cs="Titillium Web"/>
          <w:color w:val="000000"/>
          <w:sz w:val="22"/>
          <w:szCs w:val="22"/>
          <w:highlight w:val="white"/>
        </w:rPr>
        <w:t>carico della parte richiedente. L’IVA nella misura di legge è a carico dell’INAF. Il presente Contratto è stipulato nella forma della scrittura privata, soggetta a registrazione in caso d’uso ai sensi dell’art. 5 del D.P.R. numero 131/86 e successive modifiche ed integrazioni.</w:t>
      </w:r>
    </w:p>
    <w:p w14:paraId="21B196A9" w14:textId="77777777" w:rsidR="00BC74F4" w:rsidRDefault="00BC74F4">
      <w:pPr>
        <w:keepNext/>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b/>
          <w:color w:val="C00000"/>
          <w:sz w:val="22"/>
          <w:szCs w:val="22"/>
          <w:highlight w:val="white"/>
        </w:rPr>
      </w:pPr>
    </w:p>
    <w:p w14:paraId="34ED97AE" w14:textId="77777777" w:rsidR="00BC74F4" w:rsidRDefault="007477EA">
      <w:pPr>
        <w:keepNext/>
        <w:widowControl w:val="0"/>
        <w:pBdr>
          <w:top w:val="nil"/>
          <w:left w:val="nil"/>
          <w:bottom w:val="nil"/>
          <w:right w:val="nil"/>
          <w:between w:val="nil"/>
        </w:pBdr>
        <w:spacing w:line="276" w:lineRule="auto"/>
        <w:ind w:left="0" w:right="-1220" w:hanging="2"/>
        <w:jc w:val="center"/>
        <w:rPr>
          <w:rFonts w:ascii="Titillium Web" w:eastAsia="Titillium Web" w:hAnsi="Titillium Web" w:cs="Titillium Web"/>
          <w:color w:val="000000"/>
          <w:sz w:val="22"/>
          <w:szCs w:val="22"/>
          <w:highlight w:val="white"/>
        </w:rPr>
      </w:pPr>
      <w:r>
        <w:rPr>
          <w:rFonts w:ascii="Titillium Web" w:eastAsia="Titillium Web" w:hAnsi="Titillium Web" w:cs="Titillium Web"/>
          <w:b/>
          <w:color w:val="000000"/>
          <w:sz w:val="22"/>
          <w:szCs w:val="22"/>
          <w:highlight w:val="white"/>
        </w:rPr>
        <w:t xml:space="preserve">Art.  </w:t>
      </w:r>
      <w:r>
        <w:rPr>
          <w:rFonts w:ascii="Titillium Web" w:eastAsia="Titillium Web" w:hAnsi="Titillium Web" w:cs="Titillium Web"/>
          <w:b/>
          <w:color w:val="000000"/>
          <w:sz w:val="22"/>
          <w:szCs w:val="22"/>
          <w:highlight w:val="white"/>
          <w:u w:val="single"/>
        </w:rPr>
        <w:t>Esecuzione del contratto</w:t>
      </w:r>
    </w:p>
    <w:p w14:paraId="19E0B03A" w14:textId="77777777" w:rsidR="00BC74F4" w:rsidRDefault="007477EA">
      <w:pPr>
        <w:keepNext/>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b/>
          <w:sz w:val="22"/>
          <w:szCs w:val="22"/>
          <w:highlight w:val="white"/>
        </w:rPr>
      </w:pPr>
      <w:r>
        <w:rPr>
          <w:rFonts w:ascii="Titillium Web" w:eastAsia="Titillium Web" w:hAnsi="Titillium Web" w:cs="Titillium Web"/>
          <w:color w:val="000000"/>
          <w:sz w:val="22"/>
          <w:szCs w:val="22"/>
          <w:highlight w:val="white"/>
        </w:rPr>
        <w:t xml:space="preserve">- La funzione di Responsabile Unico del Procedimento (RUP) è affidata </w:t>
      </w:r>
      <w:r>
        <w:rPr>
          <w:rFonts w:ascii="Titillium Web" w:eastAsia="Titillium Web" w:hAnsi="Titillium Web" w:cs="Titillium Web"/>
          <w:sz w:val="22"/>
          <w:szCs w:val="22"/>
          <w:highlight w:val="white"/>
        </w:rPr>
        <w:t>a_____ dipendente</w:t>
      </w:r>
      <w:r>
        <w:rPr>
          <w:rFonts w:ascii="Titillium Web" w:eastAsia="Titillium Web" w:hAnsi="Titillium Web" w:cs="Titillium Web"/>
          <w:color w:val="000000"/>
          <w:sz w:val="22"/>
          <w:szCs w:val="22"/>
          <w:highlight w:val="white"/>
        </w:rPr>
        <w:t xml:space="preserve"> dell’INAF presso </w:t>
      </w:r>
      <w:r>
        <w:rPr>
          <w:rFonts w:ascii="Titillium Web" w:eastAsia="Titillium Web" w:hAnsi="Titillium Web" w:cs="Titillium Web"/>
          <w:sz w:val="22"/>
          <w:szCs w:val="22"/>
          <w:highlight w:val="white"/>
        </w:rPr>
        <w:t>___________________________.</w:t>
      </w:r>
      <w:r>
        <w:rPr>
          <w:rFonts w:ascii="Titillium Web" w:eastAsia="Titillium Web" w:hAnsi="Titillium Web" w:cs="Titillium Web"/>
          <w:color w:val="000000"/>
          <w:sz w:val="22"/>
          <w:szCs w:val="22"/>
          <w:highlight w:val="white"/>
        </w:rPr>
        <w:t xml:space="preserve"> La funzione di Direttore dell’Esecuzione del Contratto (DEC) è affidata al Dott. </w:t>
      </w:r>
      <w:r>
        <w:rPr>
          <w:rFonts w:ascii="Titillium Web" w:eastAsia="Titillium Web" w:hAnsi="Titillium Web" w:cs="Titillium Web"/>
          <w:sz w:val="22"/>
          <w:szCs w:val="22"/>
          <w:highlight w:val="white"/>
        </w:rPr>
        <w:t>_______</w:t>
      </w:r>
      <w:r>
        <w:rPr>
          <w:rFonts w:ascii="Titillium Web" w:eastAsia="Titillium Web" w:hAnsi="Titillium Web" w:cs="Titillium Web"/>
          <w:color w:val="000000"/>
          <w:sz w:val="22"/>
          <w:szCs w:val="22"/>
          <w:highlight w:val="white"/>
        </w:rPr>
        <w:t xml:space="preserve"> dipendente dell’INAF </w:t>
      </w:r>
      <w:r>
        <w:rPr>
          <w:rFonts w:ascii="Titillium Web" w:eastAsia="Titillium Web" w:hAnsi="Titillium Web" w:cs="Titillium Web"/>
          <w:sz w:val="22"/>
          <w:szCs w:val="22"/>
          <w:highlight w:val="white"/>
        </w:rPr>
        <w:t>presso ___________.</w:t>
      </w:r>
    </w:p>
    <w:p w14:paraId="5BD55585" w14:textId="77777777" w:rsidR="00BC74F4" w:rsidRDefault="00BC74F4">
      <w:pPr>
        <w:widowControl w:val="0"/>
        <w:pBdr>
          <w:top w:val="nil"/>
          <w:left w:val="nil"/>
          <w:bottom w:val="nil"/>
          <w:right w:val="nil"/>
          <w:between w:val="nil"/>
        </w:pBdr>
        <w:shd w:val="clear" w:color="auto" w:fill="FFFFFF"/>
        <w:spacing w:line="276" w:lineRule="auto"/>
        <w:ind w:left="0" w:right="-1220" w:hanging="2"/>
        <w:jc w:val="both"/>
        <w:rPr>
          <w:rFonts w:ascii="Titillium Web" w:eastAsia="Titillium Web" w:hAnsi="Titillium Web" w:cs="Titillium Web"/>
          <w:sz w:val="22"/>
          <w:szCs w:val="22"/>
          <w:highlight w:val="white"/>
        </w:rPr>
      </w:pPr>
    </w:p>
    <w:p w14:paraId="223EAEDA" w14:textId="77777777" w:rsidR="00BC74F4" w:rsidRDefault="007477EA">
      <w:pPr>
        <w:widowControl w:val="0"/>
        <w:pBdr>
          <w:top w:val="nil"/>
          <w:left w:val="nil"/>
          <w:bottom w:val="nil"/>
          <w:right w:val="nil"/>
          <w:between w:val="nil"/>
        </w:pBdr>
        <w:shd w:val="clear" w:color="auto" w:fill="FFFFFF"/>
        <w:spacing w:line="276" w:lineRule="auto"/>
        <w:ind w:left="0" w:right="-1220" w:hanging="2"/>
        <w:jc w:val="center"/>
        <w:rPr>
          <w:rFonts w:ascii="Titillium Web" w:eastAsia="Titillium Web" w:hAnsi="Titillium Web" w:cs="Titillium Web"/>
          <w:sz w:val="22"/>
          <w:szCs w:val="22"/>
          <w:highlight w:val="white"/>
          <w:u w:val="single"/>
        </w:rPr>
      </w:pPr>
      <w:r>
        <w:rPr>
          <w:rFonts w:ascii="Titillium Web" w:eastAsia="Titillium Web" w:hAnsi="Titillium Web" w:cs="Titillium Web"/>
          <w:b/>
          <w:color w:val="000000"/>
          <w:sz w:val="22"/>
          <w:szCs w:val="22"/>
          <w:highlight w:val="white"/>
        </w:rPr>
        <w:t xml:space="preserve">Art. </w:t>
      </w:r>
      <w:r>
        <w:rPr>
          <w:rFonts w:ascii="Titillium Web" w:eastAsia="Titillium Web" w:hAnsi="Titillium Web" w:cs="Titillium Web"/>
          <w:b/>
          <w:color w:val="000000"/>
          <w:sz w:val="22"/>
          <w:szCs w:val="22"/>
          <w:highlight w:val="white"/>
          <w:u w:val="single"/>
        </w:rPr>
        <w:t>Monitoraggio</w:t>
      </w:r>
    </w:p>
    <w:p w14:paraId="68DFF5FB" w14:textId="77777777" w:rsidR="00877927" w:rsidRDefault="007477EA" w:rsidP="00877927">
      <w:pPr>
        <w:widowControl w:val="0"/>
        <w:pBdr>
          <w:top w:val="nil"/>
          <w:left w:val="nil"/>
          <w:bottom w:val="nil"/>
          <w:right w:val="nil"/>
          <w:between w:val="nil"/>
        </w:pBdr>
        <w:shd w:val="clear" w:color="auto" w:fill="FFFFFF"/>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 xml:space="preserve">L’Operatore economico si </w:t>
      </w:r>
      <w:r>
        <w:rPr>
          <w:rFonts w:ascii="Titillium Web" w:eastAsia="Titillium Web" w:hAnsi="Titillium Web" w:cs="Titillium Web"/>
          <w:sz w:val="22"/>
          <w:szCs w:val="22"/>
          <w:highlight w:val="white"/>
        </w:rPr>
        <w:t>impegna a raccogliere</w:t>
      </w:r>
      <w:r>
        <w:rPr>
          <w:rFonts w:ascii="Titillium Web" w:eastAsia="Titillium Web" w:hAnsi="Titillium Web" w:cs="Titillium Web"/>
          <w:color w:val="000000"/>
          <w:sz w:val="22"/>
          <w:szCs w:val="22"/>
          <w:highlight w:val="white"/>
        </w:rPr>
        <w:t xml:space="preserve"> e a trasmettere i dati relativi all’esecuzione procedurale dell’opera, all’esecuzione procedurale, alla realizzazione fisica, e all’esecuzione finanziaria necessari al Soggetto Attuatore ai fini del caricamento sulla piattaforma ReGiS. </w:t>
      </w:r>
    </w:p>
    <w:p w14:paraId="767D1C10" w14:textId="38AA80EF" w:rsidR="00877927" w:rsidRDefault="007477EA" w:rsidP="00877927">
      <w:pPr>
        <w:widowControl w:val="0"/>
        <w:pBdr>
          <w:top w:val="nil"/>
          <w:left w:val="nil"/>
          <w:bottom w:val="nil"/>
          <w:right w:val="nil"/>
          <w:between w:val="nil"/>
        </w:pBdr>
        <w:shd w:val="clear" w:color="auto" w:fill="FFFFFF"/>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 xml:space="preserve">L’OPERATORE ECONOMICO conserva la relativa documentazione giustificativa su supporti informatici adeguati, al fine di assicurare la completa tracciabilità delle operazioni e la tenuta di </w:t>
      </w:r>
      <w:r>
        <w:rPr>
          <w:rFonts w:ascii="Titillium Web" w:eastAsia="Titillium Web" w:hAnsi="Titillium Web" w:cs="Titillium Web"/>
          <w:sz w:val="22"/>
          <w:szCs w:val="22"/>
          <w:highlight w:val="white"/>
        </w:rPr>
        <w:t>un'apposita</w:t>
      </w:r>
      <w:r>
        <w:rPr>
          <w:rFonts w:ascii="Titillium Web" w:eastAsia="Titillium Web" w:hAnsi="Titillium Web" w:cs="Titillium Web"/>
          <w:color w:val="000000"/>
          <w:sz w:val="22"/>
          <w:szCs w:val="22"/>
          <w:highlight w:val="white"/>
        </w:rPr>
        <w:t xml:space="preserve"> codificazione contabile separata per l’utilizzo delle risorse Piano Nazionale di Ripresa e Resilienza a norma dell’art.  9 comma 4 del D.L. 77 del 2021.</w:t>
      </w:r>
    </w:p>
    <w:p w14:paraId="42E1AE67" w14:textId="77777777" w:rsidR="00877927" w:rsidRDefault="00877927" w:rsidP="00877927">
      <w:pPr>
        <w:widowControl w:val="0"/>
        <w:pBdr>
          <w:top w:val="nil"/>
          <w:left w:val="nil"/>
          <w:bottom w:val="nil"/>
          <w:right w:val="nil"/>
          <w:between w:val="nil"/>
        </w:pBdr>
        <w:shd w:val="clear" w:color="auto" w:fill="FFFFFF"/>
        <w:spacing w:line="276" w:lineRule="auto"/>
        <w:ind w:left="0" w:right="-1220" w:hanging="2"/>
        <w:jc w:val="both"/>
        <w:rPr>
          <w:rFonts w:ascii="Titillium Web" w:eastAsia="Titillium Web" w:hAnsi="Titillium Web" w:cs="Titillium Web"/>
          <w:color w:val="000000"/>
          <w:sz w:val="22"/>
          <w:szCs w:val="22"/>
          <w:highlight w:val="white"/>
        </w:rPr>
      </w:pPr>
    </w:p>
    <w:p w14:paraId="3C2D98CB" w14:textId="77777777" w:rsidR="00BC74F4" w:rsidRDefault="007477EA">
      <w:pPr>
        <w:pBdr>
          <w:top w:val="nil"/>
          <w:left w:val="nil"/>
          <w:bottom w:val="nil"/>
          <w:right w:val="nil"/>
          <w:between w:val="nil"/>
        </w:pBdr>
        <w:shd w:val="clear" w:color="auto" w:fill="FFFFFF"/>
        <w:spacing w:line="276" w:lineRule="auto"/>
        <w:ind w:left="0" w:right="-1220" w:hanging="2"/>
        <w:jc w:val="center"/>
        <w:rPr>
          <w:rFonts w:ascii="Titillium Web" w:eastAsia="Titillium Web" w:hAnsi="Titillium Web" w:cs="Titillium Web"/>
          <w:sz w:val="22"/>
          <w:szCs w:val="22"/>
          <w:highlight w:val="white"/>
        </w:rPr>
      </w:pPr>
      <w:r>
        <w:rPr>
          <w:rFonts w:ascii="Titillium Web" w:eastAsia="Titillium Web" w:hAnsi="Titillium Web" w:cs="Titillium Web"/>
          <w:b/>
          <w:color w:val="000000"/>
          <w:sz w:val="22"/>
          <w:szCs w:val="22"/>
          <w:highlight w:val="white"/>
        </w:rPr>
        <w:lastRenderedPageBreak/>
        <w:t xml:space="preserve">Art. </w:t>
      </w:r>
      <w:r>
        <w:rPr>
          <w:rFonts w:ascii="Titillium Web" w:eastAsia="Titillium Web" w:hAnsi="Titillium Web" w:cs="Titillium Web"/>
          <w:b/>
          <w:color w:val="000000"/>
          <w:sz w:val="22"/>
          <w:szCs w:val="22"/>
          <w:highlight w:val="white"/>
          <w:u w:val="single"/>
        </w:rPr>
        <w:t>Informazione e Pubblicità</w:t>
      </w:r>
    </w:p>
    <w:p w14:paraId="3C4B7066" w14:textId="77777777" w:rsidR="00BC74F4" w:rsidRDefault="007477EA">
      <w:pPr>
        <w:pBdr>
          <w:top w:val="nil"/>
          <w:left w:val="nil"/>
          <w:bottom w:val="nil"/>
          <w:right w:val="nil"/>
          <w:between w:val="nil"/>
        </w:pBdr>
        <w:shd w:val="clear" w:color="auto" w:fill="FFFFFF"/>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 xml:space="preserve">Ai sensi dell’articolo 34 del Regolamento (UE) 2021/241, le parti garantiscono adeguata visibilità ai risultati degli investimenti e al </w:t>
      </w:r>
      <w:r>
        <w:rPr>
          <w:rFonts w:ascii="Titillium Web" w:eastAsia="Titillium Web" w:hAnsi="Titillium Web" w:cs="Titillium Web"/>
          <w:color w:val="000000"/>
          <w:sz w:val="22"/>
          <w:szCs w:val="22"/>
          <w:highlight w:val="white"/>
        </w:rPr>
        <w:t>finanziamento dell’Unione europea, dando visibilità all’origine del finanziamento:</w:t>
      </w:r>
    </w:p>
    <w:p w14:paraId="3523CBED" w14:textId="77777777" w:rsidR="00BC74F4" w:rsidRDefault="007477EA">
      <w:pPr>
        <w:widowControl w:val="0"/>
        <w:numPr>
          <w:ilvl w:val="0"/>
          <w:numId w:val="4"/>
        </w:numPr>
        <w:pBdr>
          <w:top w:val="nil"/>
          <w:left w:val="nil"/>
          <w:bottom w:val="nil"/>
          <w:right w:val="nil"/>
          <w:between w:val="nil"/>
        </w:pBdr>
        <w:spacing w:after="240"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mostrando correttamente e in modo visibile in tutte le attività di comunicazione a livello di progetto l’emblema dell’UE con un’appropriata dichiarazione di finanziamento che reciti “finanziato dall’Unione europea - NextGenerationEU”;</w:t>
      </w:r>
    </w:p>
    <w:p w14:paraId="395318E4" w14:textId="77777777" w:rsidR="00BC74F4" w:rsidRDefault="007477EA">
      <w:pPr>
        <w:widowControl w:val="0"/>
        <w:numPr>
          <w:ilvl w:val="0"/>
          <w:numId w:val="4"/>
        </w:numPr>
        <w:pBdr>
          <w:top w:val="nil"/>
          <w:left w:val="nil"/>
          <w:bottom w:val="nil"/>
          <w:right w:val="nil"/>
          <w:between w:val="nil"/>
        </w:pBdr>
        <w:spacing w:after="240"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garantendo il riconoscimento dell’origine dei fondi da parte dei destinatari finali;</w:t>
      </w:r>
    </w:p>
    <w:p w14:paraId="43EEBBD8" w14:textId="77777777" w:rsidR="00BC74F4" w:rsidRDefault="007477EA">
      <w:pPr>
        <w:widowControl w:val="0"/>
        <w:numPr>
          <w:ilvl w:val="0"/>
          <w:numId w:val="4"/>
        </w:numPr>
        <w:pBdr>
          <w:top w:val="nil"/>
          <w:left w:val="nil"/>
          <w:bottom w:val="nil"/>
          <w:right w:val="nil"/>
          <w:between w:val="nil"/>
        </w:pBdr>
        <w:spacing w:after="240"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inserendo l’emblema dell’Unione Europea con lo stesso risalto e visibilità degli eventuali altri loghi</w:t>
      </w:r>
    </w:p>
    <w:p w14:paraId="38A91F37" w14:textId="77777777" w:rsidR="00BC74F4" w:rsidRDefault="007477EA">
      <w:pPr>
        <w:widowControl w:val="0"/>
        <w:numPr>
          <w:ilvl w:val="0"/>
          <w:numId w:val="4"/>
        </w:numPr>
        <w:pBdr>
          <w:top w:val="nil"/>
          <w:left w:val="nil"/>
          <w:bottom w:val="nil"/>
          <w:right w:val="nil"/>
          <w:between w:val="nil"/>
        </w:pBdr>
        <w:spacing w:after="240"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utilizzando nei documenti il seguente disclaimer: “</w:t>
      </w:r>
      <w:r>
        <w:rPr>
          <w:rFonts w:ascii="Titillium Web" w:eastAsia="Titillium Web" w:hAnsi="Titillium Web" w:cs="Titillium Web"/>
          <w:i/>
          <w:color w:val="000000"/>
          <w:sz w:val="22"/>
          <w:szCs w:val="22"/>
          <w:highlight w:val="white"/>
        </w:rPr>
        <w:t>Finanziato dall'Unione europea - NextGenerationEU. I punti di vista e le opinioni espresse sono tuttavia solo quelli degli autori e non riflettono necessariamente quelli dell'Unione europea o della Commissione europea. Né l'Unione europea né la Commissione europea possono essere ritenute responsabili per essi</w:t>
      </w:r>
      <w:r>
        <w:rPr>
          <w:rFonts w:ascii="Titillium Web" w:eastAsia="Titillium Web" w:hAnsi="Titillium Web" w:cs="Titillium Web"/>
          <w:color w:val="000000"/>
          <w:sz w:val="22"/>
          <w:szCs w:val="22"/>
          <w:highlight w:val="white"/>
        </w:rPr>
        <w:t>”</w:t>
      </w:r>
    </w:p>
    <w:p w14:paraId="4B1F6157" w14:textId="77777777" w:rsidR="00BC74F4" w:rsidRDefault="007477EA">
      <w:pPr>
        <w:keepNext/>
        <w:widowControl w:val="0"/>
        <w:pBdr>
          <w:top w:val="nil"/>
          <w:left w:val="nil"/>
          <w:bottom w:val="nil"/>
          <w:right w:val="nil"/>
          <w:between w:val="nil"/>
        </w:pBdr>
        <w:spacing w:line="276" w:lineRule="auto"/>
        <w:ind w:left="0" w:right="-1220" w:hanging="2"/>
        <w:jc w:val="center"/>
        <w:rPr>
          <w:rFonts w:ascii="Titillium Web" w:eastAsia="Titillium Web" w:hAnsi="Titillium Web" w:cs="Titillium Web"/>
          <w:color w:val="000000"/>
          <w:sz w:val="22"/>
          <w:szCs w:val="22"/>
          <w:highlight w:val="white"/>
        </w:rPr>
      </w:pPr>
      <w:r>
        <w:rPr>
          <w:rFonts w:ascii="Titillium Web" w:eastAsia="Titillium Web" w:hAnsi="Titillium Web" w:cs="Titillium Web"/>
          <w:b/>
          <w:color w:val="000000"/>
          <w:sz w:val="22"/>
          <w:szCs w:val="22"/>
          <w:highlight w:val="white"/>
        </w:rPr>
        <w:t xml:space="preserve">Art. </w:t>
      </w:r>
      <w:r>
        <w:rPr>
          <w:rFonts w:ascii="Titillium Web" w:eastAsia="Titillium Web" w:hAnsi="Titillium Web" w:cs="Titillium Web"/>
          <w:b/>
          <w:color w:val="000000"/>
          <w:sz w:val="22"/>
          <w:szCs w:val="22"/>
          <w:highlight w:val="white"/>
          <w:u w:val="single"/>
        </w:rPr>
        <w:t>Riservatezza</w:t>
      </w:r>
    </w:p>
    <w:p w14:paraId="0DE610B7" w14:textId="77777777" w:rsidR="00BC74F4" w:rsidRDefault="007477EA">
      <w:pPr>
        <w:keepNext/>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 xml:space="preserve">L'OPERATORE ECONOMICO ha l'obbligo di mantenere riservati i dati e le informazioni di cui venga in possesso e comunque a conoscenza che siano classificati come tali; di non </w:t>
      </w:r>
      <w:r>
        <w:rPr>
          <w:rFonts w:ascii="Titillium Web" w:eastAsia="Titillium Web" w:hAnsi="Titillium Web" w:cs="Titillium Web"/>
          <w:sz w:val="22"/>
          <w:szCs w:val="22"/>
          <w:highlight w:val="white"/>
        </w:rPr>
        <w:t>divulgarli</w:t>
      </w:r>
      <w:r>
        <w:rPr>
          <w:rFonts w:ascii="Titillium Web" w:eastAsia="Titillium Web" w:hAnsi="Titillium Web" w:cs="Titillium Web"/>
          <w:color w:val="000000"/>
          <w:sz w:val="22"/>
          <w:szCs w:val="22"/>
          <w:highlight w:val="white"/>
        </w:rPr>
        <w:t xml:space="preserve"> in alcun modo e di non farne oggetto di utilizzazione a qualsiasi titolo per scopi diversi da quelli strettamente necessari all'esecuzione del Contratto. In caso di inosservanza degli obblighi di riservatezza, l'INAF ha la facoltà di dichiarare risolto il Contratto, fermo restando che l'OPERATORE ECONOMICO sarà tenuta a risarcire tutti gli ulteriori danni che dovessero derivare all'INAF. </w:t>
      </w:r>
      <w:r w:rsidRPr="00877927">
        <w:rPr>
          <w:rFonts w:ascii="Titillium Web" w:eastAsia="Titillium Web" w:hAnsi="Titillium Web" w:cs="Titillium Web"/>
          <w:color w:val="C00000"/>
          <w:sz w:val="22"/>
          <w:szCs w:val="22"/>
          <w:highlight w:val="white"/>
        </w:rPr>
        <w:t xml:space="preserve">[Eventuale </w:t>
      </w:r>
      <w:r>
        <w:rPr>
          <w:rFonts w:ascii="Titillium Web" w:eastAsia="Titillium Web" w:hAnsi="Titillium Web" w:cs="Titillium Web"/>
          <w:sz w:val="22"/>
          <w:szCs w:val="22"/>
          <w:highlight w:val="white"/>
        </w:rPr>
        <w:t>precisare obblighi</w:t>
      </w:r>
      <w:r>
        <w:rPr>
          <w:rFonts w:ascii="Titillium Web" w:eastAsia="Titillium Web" w:hAnsi="Titillium Web" w:cs="Titillium Web"/>
          <w:color w:val="000000"/>
          <w:sz w:val="22"/>
          <w:szCs w:val="22"/>
          <w:highlight w:val="white"/>
        </w:rPr>
        <w:t xml:space="preserve"> di riservatezza</w:t>
      </w:r>
      <w:r w:rsidRPr="00877927">
        <w:rPr>
          <w:rFonts w:ascii="Titillium Web" w:eastAsia="Titillium Web" w:hAnsi="Titillium Web" w:cs="Titillium Web"/>
          <w:color w:val="C00000"/>
          <w:sz w:val="22"/>
          <w:szCs w:val="22"/>
          <w:highlight w:val="white"/>
        </w:rPr>
        <w:t>]</w:t>
      </w:r>
    </w:p>
    <w:p w14:paraId="4E1BE23E" w14:textId="77777777" w:rsidR="00BC74F4" w:rsidRDefault="00BC74F4">
      <w:pPr>
        <w:keepNext/>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sz w:val="22"/>
          <w:szCs w:val="22"/>
          <w:highlight w:val="white"/>
        </w:rPr>
      </w:pPr>
    </w:p>
    <w:p w14:paraId="1EC35358" w14:textId="77777777" w:rsidR="00BC74F4" w:rsidRDefault="007477EA">
      <w:pPr>
        <w:keepNext/>
        <w:widowControl w:val="0"/>
        <w:pBdr>
          <w:top w:val="nil"/>
          <w:left w:val="nil"/>
          <w:bottom w:val="nil"/>
          <w:right w:val="nil"/>
          <w:between w:val="nil"/>
        </w:pBdr>
        <w:spacing w:line="276" w:lineRule="auto"/>
        <w:ind w:left="0" w:right="-1220" w:hanging="2"/>
        <w:jc w:val="center"/>
        <w:rPr>
          <w:rFonts w:ascii="Titillium Web" w:eastAsia="Titillium Web" w:hAnsi="Titillium Web" w:cs="Titillium Web"/>
          <w:b/>
          <w:sz w:val="22"/>
          <w:szCs w:val="22"/>
          <w:highlight w:val="white"/>
          <w:u w:val="single"/>
        </w:rPr>
      </w:pPr>
      <w:r>
        <w:rPr>
          <w:rFonts w:ascii="Titillium Web" w:eastAsia="Titillium Web" w:hAnsi="Titillium Web" w:cs="Titillium Web"/>
          <w:b/>
          <w:color w:val="CC0000"/>
          <w:sz w:val="22"/>
          <w:szCs w:val="22"/>
          <w:highlight w:val="white"/>
        </w:rPr>
        <w:t>[</w:t>
      </w:r>
      <w:r>
        <w:rPr>
          <w:rFonts w:ascii="Titillium Web" w:eastAsia="Titillium Web" w:hAnsi="Titillium Web" w:cs="Titillium Web"/>
          <w:b/>
          <w:color w:val="C00000"/>
          <w:sz w:val="22"/>
          <w:szCs w:val="22"/>
          <w:highlight w:val="white"/>
        </w:rPr>
        <w:t>Eventuale:</w:t>
      </w:r>
      <w:r>
        <w:rPr>
          <w:rFonts w:ascii="Titillium Web" w:eastAsia="Titillium Web" w:hAnsi="Titillium Web" w:cs="Titillium Web"/>
          <w:b/>
          <w:sz w:val="22"/>
          <w:szCs w:val="22"/>
          <w:highlight w:val="white"/>
        </w:rPr>
        <w:t xml:space="preserve"> Art. </w:t>
      </w:r>
      <w:r>
        <w:rPr>
          <w:rFonts w:ascii="Titillium Web" w:eastAsia="Titillium Web" w:hAnsi="Titillium Web" w:cs="Titillium Web"/>
          <w:b/>
          <w:sz w:val="22"/>
          <w:szCs w:val="22"/>
          <w:highlight w:val="white"/>
          <w:u w:val="single"/>
        </w:rPr>
        <w:t>Proprietà Intellettuale</w:t>
      </w:r>
    </w:p>
    <w:p w14:paraId="4661233F" w14:textId="77777777" w:rsidR="00BC74F4" w:rsidRDefault="007477EA">
      <w:pPr>
        <w:keepNext/>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b/>
          <w:color w:val="CC0000"/>
          <w:sz w:val="22"/>
          <w:szCs w:val="22"/>
          <w:highlight w:val="white"/>
        </w:rPr>
      </w:pPr>
      <w:r>
        <w:rPr>
          <w:rFonts w:ascii="Titillium Web" w:eastAsia="Titillium Web" w:hAnsi="Titillium Web" w:cs="Titillium Web"/>
          <w:sz w:val="21"/>
          <w:szCs w:val="21"/>
          <w:highlight w:val="white"/>
        </w:rPr>
        <w:t xml:space="preserve">L’Amministrazione (INAF-O__) e l’Operatore economico sono titolari di diritti di proprietà intellettuale e industriale. Salvo quanto strettamente necessario a dare esecuzione al presente contratto, le Parti si danno reciprocamente atto che nessun diritto relativo alle rispettive Proprietà Intellettuali diverse dal Foreground </w:t>
      </w:r>
      <w:r>
        <w:rPr>
          <w:rFonts w:ascii="Titillium Web" w:eastAsia="Titillium Web" w:hAnsi="Titillium Web" w:cs="Titillium Web"/>
          <w:sz w:val="21"/>
          <w:szCs w:val="21"/>
          <w:highlight w:val="white"/>
        </w:rPr>
        <w:lastRenderedPageBreak/>
        <w:t>definito qui di seguito è ceduto all’altra…</w:t>
      </w:r>
      <w:r>
        <w:rPr>
          <w:rFonts w:ascii="Titillium Web" w:eastAsia="Titillium Web" w:hAnsi="Titillium Web" w:cs="Titillium Web"/>
          <w:b/>
          <w:color w:val="CC0000"/>
          <w:sz w:val="21"/>
          <w:szCs w:val="21"/>
          <w:highlight w:val="white"/>
        </w:rPr>
        <w:t>]</w:t>
      </w:r>
    </w:p>
    <w:p w14:paraId="1791FE48" w14:textId="77777777" w:rsidR="00BC74F4" w:rsidRDefault="00BC74F4">
      <w:pPr>
        <w:keepNext/>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sz w:val="22"/>
          <w:szCs w:val="22"/>
          <w:highlight w:val="white"/>
        </w:rPr>
      </w:pPr>
    </w:p>
    <w:p w14:paraId="56D4D431" w14:textId="77777777" w:rsidR="00BC74F4" w:rsidRDefault="007477EA">
      <w:pPr>
        <w:keepNext/>
        <w:widowControl w:val="0"/>
        <w:pBdr>
          <w:top w:val="nil"/>
          <w:left w:val="nil"/>
          <w:bottom w:val="nil"/>
          <w:right w:val="nil"/>
          <w:between w:val="nil"/>
        </w:pBdr>
        <w:spacing w:line="276" w:lineRule="auto"/>
        <w:ind w:left="0" w:right="-1220" w:hanging="2"/>
        <w:jc w:val="center"/>
        <w:rPr>
          <w:rFonts w:ascii="Titillium Web" w:eastAsia="Titillium Web" w:hAnsi="Titillium Web" w:cs="Titillium Web"/>
          <w:color w:val="000000"/>
          <w:sz w:val="22"/>
          <w:szCs w:val="22"/>
          <w:highlight w:val="white"/>
        </w:rPr>
      </w:pPr>
      <w:r>
        <w:rPr>
          <w:rFonts w:ascii="Titillium Web" w:eastAsia="Titillium Web" w:hAnsi="Titillium Web" w:cs="Titillium Web"/>
          <w:b/>
          <w:color w:val="000000"/>
          <w:sz w:val="22"/>
          <w:szCs w:val="22"/>
          <w:highlight w:val="white"/>
        </w:rPr>
        <w:t xml:space="preserve">Art. </w:t>
      </w:r>
      <w:r>
        <w:rPr>
          <w:rFonts w:ascii="Titillium Web" w:eastAsia="Titillium Web" w:hAnsi="Titillium Web" w:cs="Titillium Web"/>
          <w:b/>
          <w:color w:val="000000"/>
          <w:sz w:val="22"/>
          <w:szCs w:val="22"/>
          <w:highlight w:val="white"/>
          <w:u w:val="single"/>
        </w:rPr>
        <w:t>Trattamento dei Dati</w:t>
      </w:r>
    </w:p>
    <w:p w14:paraId="3DDD32F1" w14:textId="77777777" w:rsidR="00BC74F4" w:rsidRDefault="007477EA">
      <w:pPr>
        <w:keepNext/>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L’OPERATORE ECONOMICO dichiara di essere stat</w:t>
      </w:r>
      <w:r>
        <w:rPr>
          <w:rFonts w:ascii="Titillium Web" w:eastAsia="Titillium Web" w:hAnsi="Titillium Web" w:cs="Titillium Web"/>
          <w:sz w:val="22"/>
          <w:szCs w:val="22"/>
          <w:highlight w:val="white"/>
        </w:rPr>
        <w:t>o</w:t>
      </w:r>
      <w:r>
        <w:rPr>
          <w:rFonts w:ascii="Titillium Web" w:eastAsia="Titillium Web" w:hAnsi="Titillium Web" w:cs="Titillium Web"/>
          <w:color w:val="000000"/>
          <w:sz w:val="22"/>
          <w:szCs w:val="22"/>
          <w:highlight w:val="white"/>
        </w:rPr>
        <w:t xml:space="preserve"> informat</w:t>
      </w:r>
      <w:r>
        <w:rPr>
          <w:rFonts w:ascii="Titillium Web" w:eastAsia="Titillium Web" w:hAnsi="Titillium Web" w:cs="Titillium Web"/>
          <w:sz w:val="22"/>
          <w:szCs w:val="22"/>
          <w:highlight w:val="white"/>
        </w:rPr>
        <w:t>o</w:t>
      </w:r>
      <w:r>
        <w:rPr>
          <w:rFonts w:ascii="Titillium Web" w:eastAsia="Titillium Web" w:hAnsi="Titillium Web" w:cs="Titillium Web"/>
          <w:color w:val="000000"/>
          <w:sz w:val="22"/>
          <w:szCs w:val="22"/>
          <w:highlight w:val="white"/>
        </w:rPr>
        <w:t xml:space="preserve"> in merito al trattamento dei dati raccolti in esecuzione del presente contratto e di aver informato ed acquisito, se necessario, il relativo consenso da parte degli interessati i cui dati personali sono forniti nell’ambito e per le finalità</w:t>
      </w:r>
      <w:r>
        <w:rPr>
          <w:color w:val="000000"/>
          <w:sz w:val="22"/>
          <w:szCs w:val="22"/>
          <w:highlight w:val="white"/>
        </w:rPr>
        <w:t> </w:t>
      </w:r>
      <w:r>
        <w:rPr>
          <w:rFonts w:ascii="Titillium Web" w:eastAsia="Titillium Web" w:hAnsi="Titillium Web" w:cs="Titillium Web"/>
          <w:color w:val="000000"/>
          <w:sz w:val="22"/>
          <w:szCs w:val="22"/>
          <w:highlight w:val="white"/>
        </w:rPr>
        <w:t>dello stesso.  Nell’esecuzione del presente contratto, l’OPERATORE ECONOMICO e il proprio personale, in quanto autorizzato al trattamento dei dati personali, si impegna al rispetto delle disposizioni contenute nel Regolamento UE numero 2016/679 e del D. Lgs. 196/03 e su</w:t>
      </w:r>
      <w:r>
        <w:rPr>
          <w:rFonts w:ascii="Titillium Web" w:eastAsia="Titillium Web" w:hAnsi="Titillium Web" w:cs="Titillium Web"/>
          <w:color w:val="000000"/>
          <w:sz w:val="22"/>
          <w:szCs w:val="22"/>
          <w:highlight w:val="white"/>
        </w:rPr>
        <w:t>ccessive modifiche ed integrazioni nonché a trattare i soli dati funzionali, necessari e pertinenti all’esecuzione del presente contratto in modo lecito e secondo correttezza, nei limiti dell’oggetto e delle finalità descritte per lo stesso. In caso di designazione a Responsabile del trattamento dei dati, l’OPERATORE ECONOMICO si impegna ad accettare l’incarico e ad osservare gli obblighi contenuti nel documento denominato "contratto di designazione a responsabile dei dati" che, una volta sottoscritto, cost</w:t>
      </w:r>
      <w:r>
        <w:rPr>
          <w:rFonts w:ascii="Titillium Web" w:eastAsia="Titillium Web" w:hAnsi="Titillium Web" w:cs="Titillium Web"/>
          <w:color w:val="000000"/>
          <w:sz w:val="22"/>
          <w:szCs w:val="22"/>
          <w:highlight w:val="white"/>
        </w:rPr>
        <w:t>ituirà parte integrante del presente contratto. L’OPERATORE ECONOMICO dovrà garantire che i dati personali oggetto di trattamento, verranno gestiti nell’ambito dell’UE e che non sarà</w:t>
      </w:r>
      <w:r>
        <w:rPr>
          <w:color w:val="000000"/>
          <w:sz w:val="22"/>
          <w:szCs w:val="22"/>
          <w:highlight w:val="white"/>
        </w:rPr>
        <w:t> </w:t>
      </w:r>
      <w:r>
        <w:rPr>
          <w:rFonts w:ascii="Titillium Web" w:eastAsia="Titillium Web" w:hAnsi="Titillium Web" w:cs="Titillium Web"/>
          <w:color w:val="000000"/>
          <w:sz w:val="22"/>
          <w:szCs w:val="22"/>
          <w:highlight w:val="white"/>
        </w:rPr>
        <w:t xml:space="preserve">effettuato alcun trasferimento degli stessi verso un paese terzo se non alle condizioni previste nel Regolamento.  </w:t>
      </w:r>
    </w:p>
    <w:p w14:paraId="69F82AE7" w14:textId="77777777" w:rsidR="00BC74F4" w:rsidRDefault="007477EA">
      <w:pPr>
        <w:keepNext/>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 xml:space="preserve">Titolare del Trattamento per l’INAF e-mail: _________________________- </w:t>
      </w:r>
    </w:p>
    <w:p w14:paraId="7092DA93" w14:textId="77777777" w:rsidR="00BC74F4" w:rsidRDefault="007477EA">
      <w:pPr>
        <w:keepNext/>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 xml:space="preserve">Responsabile della Protezione dei Dati: e-mail: ______________________- </w:t>
      </w:r>
    </w:p>
    <w:p w14:paraId="4CD82081" w14:textId="77777777" w:rsidR="00BC74F4" w:rsidRDefault="007477EA">
      <w:pPr>
        <w:keepNext/>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 xml:space="preserve">Titolare del Trattamento per </w:t>
      </w:r>
      <w:r>
        <w:rPr>
          <w:rFonts w:ascii="Titillium Web" w:eastAsia="Titillium Web" w:hAnsi="Titillium Web" w:cs="Titillium Web"/>
          <w:sz w:val="22"/>
          <w:szCs w:val="22"/>
          <w:highlight w:val="white"/>
        </w:rPr>
        <w:t>l'OPERATORE ECONOMICO ___________________________-</w:t>
      </w:r>
    </w:p>
    <w:p w14:paraId="1A63CC4F" w14:textId="77777777" w:rsidR="00BC74F4" w:rsidRDefault="007477EA">
      <w:pPr>
        <w:keepNext/>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Responsabile della protezione dei Dati: e-mail: ______________________-</w:t>
      </w:r>
    </w:p>
    <w:p w14:paraId="01A1A534" w14:textId="77777777" w:rsidR="00BC74F4" w:rsidRDefault="00BC74F4">
      <w:pPr>
        <w:keepNext/>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p>
    <w:p w14:paraId="314B7FB4" w14:textId="77777777" w:rsidR="00BC74F4" w:rsidRDefault="007477EA">
      <w:pPr>
        <w:widowControl w:val="0"/>
        <w:pBdr>
          <w:top w:val="nil"/>
          <w:left w:val="nil"/>
          <w:bottom w:val="nil"/>
          <w:right w:val="nil"/>
          <w:between w:val="nil"/>
        </w:pBdr>
        <w:spacing w:line="276" w:lineRule="auto"/>
        <w:ind w:left="0" w:right="-1220" w:hanging="2"/>
        <w:jc w:val="center"/>
        <w:rPr>
          <w:rFonts w:ascii="Titillium Web" w:eastAsia="Titillium Web" w:hAnsi="Titillium Web" w:cs="Titillium Web"/>
          <w:color w:val="000000"/>
          <w:sz w:val="22"/>
          <w:szCs w:val="22"/>
          <w:highlight w:val="white"/>
        </w:rPr>
      </w:pPr>
      <w:r>
        <w:rPr>
          <w:rFonts w:ascii="Titillium Web" w:eastAsia="Titillium Web" w:hAnsi="Titillium Web" w:cs="Titillium Web"/>
          <w:b/>
          <w:color w:val="000000"/>
          <w:sz w:val="22"/>
          <w:szCs w:val="22"/>
          <w:highlight w:val="white"/>
        </w:rPr>
        <w:t xml:space="preserve">Art. - </w:t>
      </w:r>
      <w:r>
        <w:rPr>
          <w:rFonts w:ascii="Titillium Web" w:eastAsia="Titillium Web" w:hAnsi="Titillium Web" w:cs="Titillium Web"/>
          <w:b/>
          <w:color w:val="000000"/>
          <w:sz w:val="22"/>
          <w:szCs w:val="22"/>
          <w:highlight w:val="white"/>
          <w:u w:val="single"/>
        </w:rPr>
        <w:t>Efficacia del contratto</w:t>
      </w:r>
    </w:p>
    <w:p w14:paraId="386EDEA1" w14:textId="77777777" w:rsidR="00BC74F4" w:rsidRDefault="007477EA">
      <w:pPr>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 xml:space="preserve">Il presente Contratto viene sottoscritto digitalmente ad unico effetto. È impegnativo per l’OPERATORE ECONOMICO sin dalla data di </w:t>
      </w:r>
      <w:r>
        <w:rPr>
          <w:rFonts w:ascii="Titillium Web" w:eastAsia="Titillium Web" w:hAnsi="Titillium Web" w:cs="Titillium Web"/>
          <w:color w:val="000000"/>
          <w:sz w:val="22"/>
          <w:szCs w:val="22"/>
          <w:highlight w:val="white"/>
        </w:rPr>
        <w:t>sottoscrizione, ma diventerà impegnativo per l'INAF solo dopo la sottoscrizione da parte del suo Legale Rappresentante. Le Parti contraenti, prima di sottoscrivere il presente Contratto, lo dichiarano conforme alla propria volontà.</w:t>
      </w:r>
    </w:p>
    <w:p w14:paraId="105F9B59" w14:textId="77777777" w:rsidR="00BC74F4" w:rsidRDefault="00BC74F4">
      <w:pPr>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p>
    <w:p w14:paraId="3ED760D3" w14:textId="77777777" w:rsidR="00BC74F4" w:rsidRDefault="007477EA">
      <w:pPr>
        <w:widowControl w:val="0"/>
        <w:pBdr>
          <w:top w:val="nil"/>
          <w:left w:val="nil"/>
          <w:bottom w:val="nil"/>
          <w:right w:val="nil"/>
          <w:between w:val="nil"/>
        </w:pBdr>
        <w:spacing w:line="276" w:lineRule="auto"/>
        <w:ind w:left="0" w:right="-1220" w:hanging="2"/>
        <w:jc w:val="right"/>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 xml:space="preserve">     Sig. _____________--</w:t>
      </w:r>
      <w:r>
        <w:rPr>
          <w:rFonts w:ascii="Titillium Web" w:eastAsia="Titillium Web" w:hAnsi="Titillium Web" w:cs="Titillium Web"/>
          <w:color w:val="000000"/>
          <w:sz w:val="22"/>
          <w:szCs w:val="22"/>
          <w:highlight w:val="white"/>
        </w:rPr>
        <w:tab/>
      </w:r>
    </w:p>
    <w:p w14:paraId="67AA6108" w14:textId="77777777" w:rsidR="00BC74F4" w:rsidRDefault="007477EA">
      <w:pPr>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ab/>
      </w:r>
      <w:r>
        <w:rPr>
          <w:rFonts w:ascii="Titillium Web" w:eastAsia="Titillium Web" w:hAnsi="Titillium Web" w:cs="Titillium Web"/>
          <w:color w:val="000000"/>
          <w:sz w:val="22"/>
          <w:szCs w:val="22"/>
          <w:highlight w:val="white"/>
        </w:rPr>
        <w:tab/>
        <w:t xml:space="preserve">        </w:t>
      </w:r>
    </w:p>
    <w:p w14:paraId="0E595CB5" w14:textId="77777777" w:rsidR="00BC74F4" w:rsidRDefault="007477EA">
      <w:pPr>
        <w:keepNext/>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sz w:val="22"/>
          <w:szCs w:val="22"/>
          <w:highlight w:val="white"/>
        </w:rPr>
        <w:lastRenderedPageBreak/>
        <w:t xml:space="preserve">L’Operatore Economico sottoscrivendo il presente Contratto, dichiara, ai sensi e per gli effetti di cui agli articoli 1341 e 1342 del </w:t>
      </w:r>
      <w:proofErr w:type="gramStart"/>
      <w:r>
        <w:rPr>
          <w:rFonts w:ascii="Titillium Web" w:eastAsia="Titillium Web" w:hAnsi="Titillium Web" w:cs="Titillium Web"/>
          <w:sz w:val="22"/>
          <w:szCs w:val="22"/>
          <w:highlight w:val="white"/>
        </w:rPr>
        <w:t>Codice Civile</w:t>
      </w:r>
      <w:proofErr w:type="gramEnd"/>
      <w:r>
        <w:rPr>
          <w:rFonts w:ascii="Titillium Web" w:eastAsia="Titillium Web" w:hAnsi="Titillium Web" w:cs="Titillium Web"/>
          <w:sz w:val="22"/>
          <w:szCs w:val="22"/>
          <w:highlight w:val="white"/>
        </w:rPr>
        <w:t>, di accettare tutte le condizioni e patti contenuti nel presente contratto e di avere particolarmente considerato quanto stabilito e convenuto con le relative clausole, i</w:t>
      </w:r>
      <w:r>
        <w:rPr>
          <w:rFonts w:ascii="Titillium Web" w:eastAsia="Titillium Web" w:hAnsi="Titillium Web" w:cs="Titillium Web"/>
          <w:color w:val="000000"/>
          <w:sz w:val="22"/>
          <w:szCs w:val="22"/>
          <w:highlight w:val="white"/>
        </w:rPr>
        <w:t>n particolare, dichiara di approvare espressamente i seguenti articoli:</w:t>
      </w:r>
    </w:p>
    <w:p w14:paraId="15463558" w14:textId="77777777" w:rsidR="00BC74F4" w:rsidRDefault="00BC74F4">
      <w:pPr>
        <w:keepNext/>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sz w:val="22"/>
          <w:szCs w:val="22"/>
          <w:highlight w:val="white"/>
        </w:rPr>
      </w:pPr>
    </w:p>
    <w:p w14:paraId="41791D2D" w14:textId="77777777" w:rsidR="00BC74F4" w:rsidRDefault="007477EA">
      <w:pPr>
        <w:keepNext/>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 xml:space="preserve"> - Penali;</w:t>
      </w:r>
    </w:p>
    <w:p w14:paraId="5E6127A1" w14:textId="77777777" w:rsidR="00BC74F4" w:rsidRDefault="007477EA">
      <w:pPr>
        <w:keepNext/>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 Verifica di conformità, fatturazione e pagamenti;</w:t>
      </w:r>
    </w:p>
    <w:p w14:paraId="503A34FD" w14:textId="77777777" w:rsidR="00BC74F4" w:rsidRDefault="007477EA">
      <w:pPr>
        <w:keepNext/>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 xml:space="preserve"> - Risoluzione e recesso;</w:t>
      </w:r>
    </w:p>
    <w:p w14:paraId="640F9E28" w14:textId="77777777" w:rsidR="00BC74F4" w:rsidRDefault="007477EA">
      <w:pPr>
        <w:keepNext/>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 Foro competente.</w:t>
      </w:r>
    </w:p>
    <w:p w14:paraId="463352FA" w14:textId="77777777" w:rsidR="00BC74F4" w:rsidRDefault="00BC74F4">
      <w:pPr>
        <w:keepNext/>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p>
    <w:p w14:paraId="3A03109F" w14:textId="042C2C68" w:rsidR="00BC74F4" w:rsidRDefault="007477EA">
      <w:pPr>
        <w:keepNext/>
        <w:widowControl w:val="0"/>
        <w:pBdr>
          <w:top w:val="nil"/>
          <w:left w:val="nil"/>
          <w:bottom w:val="nil"/>
          <w:right w:val="nil"/>
          <w:between w:val="nil"/>
        </w:pBdr>
        <w:spacing w:line="276" w:lineRule="auto"/>
        <w:ind w:left="0" w:right="-1220" w:hanging="2"/>
        <w:jc w:val="both"/>
        <w:rPr>
          <w:rFonts w:ascii="Titillium Web" w:eastAsia="Titillium Web" w:hAnsi="Titillium Web" w:cs="Titillium Web"/>
          <w:b/>
          <w:sz w:val="22"/>
          <w:szCs w:val="22"/>
          <w:highlight w:val="white"/>
        </w:rPr>
      </w:pPr>
      <w:r>
        <w:rPr>
          <w:rFonts w:ascii="Titillium Web" w:eastAsia="Titillium Web" w:hAnsi="Titillium Web" w:cs="Titillium Web"/>
          <w:b/>
          <w:color w:val="000000"/>
          <w:sz w:val="22"/>
          <w:szCs w:val="22"/>
          <w:highlight w:val="white"/>
        </w:rPr>
        <w:t>___________-</w:t>
      </w:r>
      <w:r w:rsidR="00877927" w:rsidRPr="00877927">
        <w:rPr>
          <w:rFonts w:ascii="Titillium Web" w:eastAsia="Titillium Web" w:hAnsi="Titillium Web" w:cs="Titillium Web"/>
          <w:b/>
          <w:color w:val="000000"/>
          <w:sz w:val="22"/>
          <w:szCs w:val="22"/>
          <w:highlight w:val="white"/>
        </w:rPr>
        <w:t xml:space="preserve">                </w:t>
      </w:r>
      <w:r w:rsidR="00877927">
        <w:rPr>
          <w:rFonts w:ascii="Titillium Web" w:eastAsia="Titillium Web" w:hAnsi="Titillium Web" w:cs="Titillium Web"/>
          <w:b/>
          <w:color w:val="000000"/>
          <w:sz w:val="22"/>
          <w:szCs w:val="22"/>
          <w:highlight w:val="white"/>
        </w:rPr>
        <w:tab/>
      </w:r>
      <w:r w:rsidR="00877927">
        <w:rPr>
          <w:rFonts w:ascii="Titillium Web" w:eastAsia="Titillium Web" w:hAnsi="Titillium Web" w:cs="Titillium Web"/>
          <w:b/>
          <w:color w:val="000000"/>
          <w:sz w:val="22"/>
          <w:szCs w:val="22"/>
          <w:highlight w:val="white"/>
        </w:rPr>
        <w:tab/>
      </w:r>
      <w:r w:rsidR="00877927">
        <w:rPr>
          <w:rFonts w:ascii="Titillium Web" w:eastAsia="Titillium Web" w:hAnsi="Titillium Web" w:cs="Titillium Web"/>
          <w:b/>
          <w:color w:val="000000"/>
          <w:sz w:val="22"/>
          <w:szCs w:val="22"/>
          <w:highlight w:val="white"/>
        </w:rPr>
        <w:tab/>
      </w:r>
      <w:r w:rsidR="00877927">
        <w:rPr>
          <w:rFonts w:ascii="Titillium Web" w:eastAsia="Titillium Web" w:hAnsi="Titillium Web" w:cs="Titillium Web"/>
          <w:b/>
          <w:color w:val="000000"/>
          <w:sz w:val="22"/>
          <w:szCs w:val="22"/>
          <w:highlight w:val="white"/>
        </w:rPr>
        <w:tab/>
      </w:r>
      <w:r w:rsidR="00877927" w:rsidRPr="00877927">
        <w:rPr>
          <w:rFonts w:ascii="Titillium Web" w:eastAsia="Titillium Web" w:hAnsi="Titillium Web" w:cs="Titillium Web"/>
          <w:color w:val="000000"/>
          <w:sz w:val="22"/>
          <w:szCs w:val="22"/>
          <w:highlight w:val="white"/>
        </w:rPr>
        <w:tab/>
      </w:r>
      <w:r w:rsidR="00877927">
        <w:rPr>
          <w:rFonts w:ascii="Titillium Web" w:eastAsia="Titillium Web" w:hAnsi="Titillium Web" w:cs="Titillium Web"/>
          <w:color w:val="000000"/>
          <w:sz w:val="22"/>
          <w:szCs w:val="22"/>
          <w:highlight w:val="white"/>
        </w:rPr>
        <w:t xml:space="preserve">                         </w:t>
      </w:r>
      <w:r w:rsidR="00877927" w:rsidRPr="00877927">
        <w:rPr>
          <w:rFonts w:ascii="Titillium Web" w:eastAsia="Titillium Web" w:hAnsi="Titillium Web" w:cs="Titillium Web"/>
          <w:color w:val="000000"/>
          <w:sz w:val="22"/>
          <w:szCs w:val="22"/>
          <w:highlight w:val="white"/>
        </w:rPr>
        <w:t xml:space="preserve">    Sig. ________-</w:t>
      </w:r>
      <w:r w:rsidR="00877927" w:rsidRPr="00877927">
        <w:rPr>
          <w:rFonts w:ascii="Titillium Web" w:eastAsia="Titillium Web" w:hAnsi="Titillium Web" w:cs="Titillium Web"/>
          <w:color w:val="000000"/>
          <w:sz w:val="22"/>
          <w:szCs w:val="22"/>
          <w:highlight w:val="white"/>
        </w:rPr>
        <w:tab/>
      </w:r>
      <w:r w:rsidR="00877927" w:rsidRPr="00877927">
        <w:rPr>
          <w:rFonts w:ascii="Titillium Web" w:eastAsia="Titillium Web" w:hAnsi="Titillium Web" w:cs="Titillium Web"/>
          <w:color w:val="000000"/>
          <w:sz w:val="22"/>
          <w:szCs w:val="22"/>
          <w:highlight w:val="white"/>
        </w:rPr>
        <w:tab/>
      </w:r>
    </w:p>
    <w:p w14:paraId="252ED338" w14:textId="66EC82A0" w:rsidR="00BC74F4" w:rsidRDefault="007477EA" w:rsidP="00877927">
      <w:pPr>
        <w:keepNext/>
        <w:widowControl w:val="0"/>
        <w:pBdr>
          <w:top w:val="nil"/>
          <w:left w:val="nil"/>
          <w:bottom w:val="nil"/>
          <w:right w:val="nil"/>
          <w:between w:val="nil"/>
        </w:pBdr>
        <w:spacing w:line="276" w:lineRule="auto"/>
        <w:ind w:left="0" w:right="-1220" w:hanging="2"/>
        <w:jc w:val="right"/>
        <w:rPr>
          <w:rFonts w:ascii="Titillium Web" w:eastAsia="Titillium Web" w:hAnsi="Titillium Web" w:cs="Titillium Web"/>
          <w:color w:val="000000"/>
          <w:sz w:val="22"/>
          <w:szCs w:val="22"/>
          <w:highlight w:val="white"/>
        </w:rPr>
      </w:pPr>
      <w:r>
        <w:rPr>
          <w:rFonts w:ascii="Titillium Web" w:eastAsia="Titillium Web" w:hAnsi="Titillium Web" w:cs="Titillium Web"/>
          <w:color w:val="000000"/>
          <w:sz w:val="22"/>
          <w:szCs w:val="22"/>
          <w:highlight w:val="white"/>
        </w:rPr>
        <w:tab/>
      </w:r>
      <w:r>
        <w:rPr>
          <w:rFonts w:ascii="Titillium Web" w:eastAsia="Titillium Web" w:hAnsi="Titillium Web" w:cs="Titillium Web"/>
          <w:color w:val="000000"/>
          <w:sz w:val="22"/>
          <w:szCs w:val="22"/>
          <w:highlight w:val="white"/>
        </w:rPr>
        <w:tab/>
      </w:r>
    </w:p>
    <w:p w14:paraId="1069CDBC" w14:textId="77777777" w:rsidR="00BC74F4" w:rsidRDefault="00BC74F4">
      <w:pPr>
        <w:pBdr>
          <w:top w:val="nil"/>
          <w:left w:val="nil"/>
          <w:bottom w:val="nil"/>
          <w:right w:val="nil"/>
          <w:between w:val="nil"/>
        </w:pBdr>
        <w:spacing w:line="276" w:lineRule="auto"/>
        <w:ind w:left="0" w:right="-1220" w:hanging="2"/>
        <w:jc w:val="both"/>
        <w:rPr>
          <w:rFonts w:ascii="Titillium Web" w:eastAsia="Titillium Web" w:hAnsi="Titillium Web" w:cs="Titillium Web"/>
          <w:color w:val="000000"/>
          <w:sz w:val="22"/>
          <w:szCs w:val="22"/>
          <w:highlight w:val="white"/>
        </w:rPr>
      </w:pPr>
    </w:p>
    <w:sectPr w:rsidR="00BC74F4" w:rsidSect="008923AF">
      <w:headerReference w:type="even" r:id="rId8"/>
      <w:headerReference w:type="default" r:id="rId9"/>
      <w:footerReference w:type="even" r:id="rId10"/>
      <w:footerReference w:type="default" r:id="rId11"/>
      <w:headerReference w:type="first" r:id="rId12"/>
      <w:footerReference w:type="first" r:id="rId13"/>
      <w:pgSz w:w="11906" w:h="16838"/>
      <w:pgMar w:top="3700" w:right="2268" w:bottom="1134" w:left="1418" w:header="28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B3DF2" w14:textId="77777777" w:rsidR="00206850" w:rsidRDefault="00206850">
      <w:pPr>
        <w:spacing w:line="240" w:lineRule="auto"/>
        <w:ind w:left="0" w:hanging="2"/>
      </w:pPr>
      <w:r>
        <w:separator/>
      </w:r>
    </w:p>
  </w:endnote>
  <w:endnote w:type="continuationSeparator" w:id="0">
    <w:p w14:paraId="390AB3A9" w14:textId="77777777" w:rsidR="00206850" w:rsidRDefault="0020685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tillium Web">
    <w:charset w:val="00"/>
    <w:family w:val="auto"/>
    <w:pitch w:val="variable"/>
    <w:sig w:usb0="00000007" w:usb1="00000001" w:usb2="00000000" w:usb3="00000000" w:csb0="00000093" w:csb1="00000000"/>
  </w:font>
  <w:font w:name="PT Mono">
    <w:charset w:val="00"/>
    <w:family w:val="modern"/>
    <w:pitch w:val="fixed"/>
    <w:sig w:usb0="A00002EF" w:usb1="500078EB" w:usb2="00000000" w:usb3="00000000" w:csb0="00000097" w:csb1="00000000"/>
  </w:font>
  <w:font w:name="Gill San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D9FD" w14:textId="77777777" w:rsidR="00BC74F4" w:rsidRDefault="00BC74F4">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0978" w14:textId="77777777" w:rsidR="00BC74F4" w:rsidRDefault="007477EA">
    <w:pPr>
      <w:pBdr>
        <w:top w:val="nil"/>
        <w:left w:val="nil"/>
        <w:bottom w:val="nil"/>
        <w:right w:val="nil"/>
        <w:between w:val="nil"/>
      </w:pBdr>
      <w:spacing w:line="240" w:lineRule="auto"/>
      <w:ind w:left="0" w:hanging="2"/>
      <w:jc w:val="center"/>
      <w:rPr>
        <w:color w:val="000000"/>
      </w:rPr>
    </w:pPr>
    <w:r>
      <w:rPr>
        <w:color w:val="000000"/>
      </w:rPr>
      <w:t xml:space="preserve">Pag. </w:t>
    </w:r>
    <w:r>
      <w:rPr>
        <w:color w:val="000000"/>
      </w:rPr>
      <w:fldChar w:fldCharType="begin"/>
    </w:r>
    <w:r>
      <w:rPr>
        <w:color w:val="000000"/>
      </w:rPr>
      <w:instrText>PAGE</w:instrText>
    </w:r>
    <w:r>
      <w:rPr>
        <w:color w:val="000000"/>
      </w:rPr>
      <w:fldChar w:fldCharType="separate"/>
    </w:r>
    <w:r w:rsidR="00877927">
      <w:rPr>
        <w:noProof/>
        <w:color w:val="000000"/>
      </w:rPr>
      <w:t>2</w:t>
    </w:r>
    <w:r>
      <w:rPr>
        <w:color w:val="000000"/>
      </w:rPr>
      <w:fldChar w:fldCharType="end"/>
    </w:r>
    <w:r>
      <w:rPr>
        <w:color w:val="000000"/>
      </w:rPr>
      <w:t xml:space="preserve"> di </w:t>
    </w:r>
    <w:r>
      <w:rPr>
        <w:color w:val="000000"/>
      </w:rPr>
      <w:fldChar w:fldCharType="begin"/>
    </w:r>
    <w:r>
      <w:rPr>
        <w:color w:val="000000"/>
      </w:rPr>
      <w:instrText>NUMPAGES</w:instrText>
    </w:r>
    <w:r>
      <w:rPr>
        <w:color w:val="000000"/>
      </w:rPr>
      <w:fldChar w:fldCharType="separate"/>
    </w:r>
    <w:r w:rsidR="00877927">
      <w:rPr>
        <w:noProof/>
        <w:color w:val="000000"/>
      </w:rPr>
      <w:t>3</w:t>
    </w:r>
    <w:r>
      <w:rPr>
        <w:color w:val="000000"/>
      </w:rPr>
      <w:fldChar w:fldCharType="end"/>
    </w:r>
  </w:p>
  <w:p w14:paraId="1B354299" w14:textId="77777777" w:rsidR="00BC74F4" w:rsidRDefault="00BC74F4">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297E" w14:textId="77777777" w:rsidR="00BC74F4" w:rsidRDefault="00BC74F4">
    <w:pPr>
      <w:widowControl w:val="0"/>
      <w:pBdr>
        <w:top w:val="nil"/>
        <w:left w:val="nil"/>
        <w:bottom w:val="nil"/>
        <w:right w:val="nil"/>
        <w:between w:val="nil"/>
      </w:pBdr>
      <w:spacing w:line="276" w:lineRule="auto"/>
      <w:rPr>
        <w:color w:val="000000"/>
        <w:sz w:val="14"/>
        <w:szCs w:val="14"/>
      </w:rPr>
    </w:pPr>
  </w:p>
  <w:tbl>
    <w:tblPr>
      <w:tblStyle w:val="af0"/>
      <w:tblW w:w="7425" w:type="dxa"/>
      <w:tblInd w:w="-108" w:type="dxa"/>
      <w:tblLayout w:type="fixed"/>
      <w:tblLook w:val="0000" w:firstRow="0" w:lastRow="0" w:firstColumn="0" w:lastColumn="0" w:noHBand="0" w:noVBand="0"/>
    </w:tblPr>
    <w:tblGrid>
      <w:gridCol w:w="2475"/>
      <w:gridCol w:w="2475"/>
      <w:gridCol w:w="2475"/>
    </w:tblGrid>
    <w:tr w:rsidR="00BC74F4" w14:paraId="5EE9484E" w14:textId="77777777">
      <w:trPr>
        <w:trHeight w:val="300"/>
      </w:trPr>
      <w:tc>
        <w:tcPr>
          <w:tcW w:w="2475" w:type="dxa"/>
        </w:tcPr>
        <w:p w14:paraId="2FC8A722" w14:textId="77777777" w:rsidR="00BC74F4" w:rsidRDefault="00BC74F4">
          <w:pPr>
            <w:pBdr>
              <w:top w:val="nil"/>
              <w:left w:val="nil"/>
              <w:bottom w:val="nil"/>
              <w:right w:val="nil"/>
              <w:between w:val="nil"/>
            </w:pBdr>
            <w:spacing w:line="360" w:lineRule="auto"/>
            <w:rPr>
              <w:color w:val="000000"/>
              <w:sz w:val="14"/>
              <w:szCs w:val="14"/>
            </w:rPr>
          </w:pPr>
        </w:p>
      </w:tc>
      <w:tc>
        <w:tcPr>
          <w:tcW w:w="2475" w:type="dxa"/>
        </w:tcPr>
        <w:p w14:paraId="3FC08D75" w14:textId="77777777" w:rsidR="00BC74F4" w:rsidRDefault="00BC74F4">
          <w:pPr>
            <w:pBdr>
              <w:top w:val="nil"/>
              <w:left w:val="nil"/>
              <w:bottom w:val="nil"/>
              <w:right w:val="nil"/>
              <w:between w:val="nil"/>
            </w:pBdr>
            <w:spacing w:line="360" w:lineRule="auto"/>
            <w:jc w:val="center"/>
            <w:rPr>
              <w:color w:val="000000"/>
              <w:sz w:val="14"/>
              <w:szCs w:val="14"/>
            </w:rPr>
          </w:pPr>
        </w:p>
      </w:tc>
      <w:tc>
        <w:tcPr>
          <w:tcW w:w="2475" w:type="dxa"/>
        </w:tcPr>
        <w:p w14:paraId="58FF8DA1" w14:textId="77777777" w:rsidR="00BC74F4" w:rsidRDefault="00BC74F4">
          <w:pPr>
            <w:pBdr>
              <w:top w:val="nil"/>
              <w:left w:val="nil"/>
              <w:bottom w:val="nil"/>
              <w:right w:val="nil"/>
              <w:between w:val="nil"/>
            </w:pBdr>
            <w:spacing w:line="360" w:lineRule="auto"/>
            <w:ind w:right="-115"/>
            <w:jc w:val="right"/>
            <w:rPr>
              <w:color w:val="000000"/>
              <w:sz w:val="14"/>
              <w:szCs w:val="14"/>
            </w:rPr>
          </w:pPr>
        </w:p>
      </w:tc>
    </w:tr>
  </w:tbl>
  <w:p w14:paraId="3687CAFA" w14:textId="77777777" w:rsidR="00BC74F4" w:rsidRDefault="00BC74F4">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D3CB8" w14:textId="77777777" w:rsidR="00206850" w:rsidRDefault="00206850">
      <w:pPr>
        <w:spacing w:line="240" w:lineRule="auto"/>
        <w:ind w:left="0" w:hanging="2"/>
      </w:pPr>
      <w:r>
        <w:separator/>
      </w:r>
    </w:p>
  </w:footnote>
  <w:footnote w:type="continuationSeparator" w:id="0">
    <w:p w14:paraId="2BF6C28B" w14:textId="77777777" w:rsidR="00206850" w:rsidRDefault="0020685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3E19" w14:textId="77777777" w:rsidR="00BC74F4" w:rsidRDefault="00BC74F4">
    <w:pPr>
      <w:pBdr>
        <w:top w:val="nil"/>
        <w:left w:val="nil"/>
        <w:bottom w:val="nil"/>
        <w:right w:val="nil"/>
        <w:between w:val="nil"/>
      </w:pBdr>
      <w:spacing w:line="240" w:lineRule="auto"/>
      <w:ind w:left="0" w:hanging="2"/>
      <w:rPr>
        <w:color w:val="000000"/>
      </w:rPr>
    </w:pPr>
  </w:p>
  <w:tbl>
    <w:tblPr>
      <w:tblStyle w:val="ae"/>
      <w:tblW w:w="967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9"/>
      <w:gridCol w:w="5875"/>
    </w:tblGrid>
    <w:tr w:rsidR="00BC74F4" w14:paraId="796F5429" w14:textId="77777777">
      <w:trPr>
        <w:trHeight w:val="990"/>
      </w:trPr>
      <w:tc>
        <w:tcPr>
          <w:tcW w:w="3799" w:type="dxa"/>
          <w:vAlign w:val="center"/>
        </w:tcPr>
        <w:p w14:paraId="1F391841" w14:textId="77777777" w:rsidR="00BC74F4" w:rsidRDefault="007477EA">
          <w:pPr>
            <w:keepNext/>
            <w:pBdr>
              <w:top w:val="nil"/>
              <w:left w:val="nil"/>
              <w:bottom w:val="nil"/>
              <w:right w:val="nil"/>
              <w:between w:val="nil"/>
            </w:pBdr>
            <w:spacing w:line="276" w:lineRule="auto"/>
            <w:ind w:left="0" w:hanging="2"/>
            <w:rPr>
              <w:rFonts w:ascii="Gill Sans" w:eastAsia="Gill Sans" w:hAnsi="Gill Sans" w:cs="Gill Sans"/>
              <w:color w:val="000000"/>
            </w:rPr>
          </w:pPr>
          <w:r>
            <w:rPr>
              <w:noProof/>
            </w:rPr>
            <w:drawing>
              <wp:anchor distT="0" distB="0" distL="0" distR="0" simplePos="0" relativeHeight="251658240" behindDoc="1" locked="0" layoutInCell="1" hidden="0" allowOverlap="1" wp14:anchorId="24C99199" wp14:editId="63E35792">
                <wp:simplePos x="0" y="0"/>
                <wp:positionH relativeFrom="column">
                  <wp:posOffset>0</wp:posOffset>
                </wp:positionH>
                <wp:positionV relativeFrom="paragraph">
                  <wp:posOffset>71755</wp:posOffset>
                </wp:positionV>
                <wp:extent cx="974725" cy="543560"/>
                <wp:effectExtent l="0" t="0" r="0" b="0"/>
                <wp:wrapNone/>
                <wp:docPr id="1341925029" name="Immagine 1341925029"/>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974725" cy="543560"/>
                        </a:xfrm>
                        <a:prstGeom prst="rect">
                          <a:avLst/>
                        </a:prstGeom>
                        <a:ln/>
                      </pic:spPr>
                    </pic:pic>
                  </a:graphicData>
                </a:graphic>
              </wp:anchor>
            </w:drawing>
          </w:r>
          <w:r>
            <w:rPr>
              <w:noProof/>
            </w:rPr>
            <w:drawing>
              <wp:anchor distT="0" distB="0" distL="0" distR="0" simplePos="0" relativeHeight="251659264" behindDoc="1" locked="0" layoutInCell="1" hidden="0" allowOverlap="1" wp14:anchorId="23A376B3" wp14:editId="510D71C4">
                <wp:simplePos x="0" y="0"/>
                <wp:positionH relativeFrom="column">
                  <wp:posOffset>1017905</wp:posOffset>
                </wp:positionH>
                <wp:positionV relativeFrom="paragraph">
                  <wp:posOffset>137160</wp:posOffset>
                </wp:positionV>
                <wp:extent cx="1274445" cy="381000"/>
                <wp:effectExtent l="0" t="0" r="0" b="0"/>
                <wp:wrapNone/>
                <wp:docPr id="1194629729" name="Immagine 1194629729"/>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274445" cy="381000"/>
                        </a:xfrm>
                        <a:prstGeom prst="rect">
                          <a:avLst/>
                        </a:prstGeom>
                        <a:ln/>
                      </pic:spPr>
                    </pic:pic>
                  </a:graphicData>
                </a:graphic>
              </wp:anchor>
            </w:drawing>
          </w:r>
        </w:p>
      </w:tc>
      <w:tc>
        <w:tcPr>
          <w:tcW w:w="5875" w:type="dxa"/>
          <w:vAlign w:val="center"/>
        </w:tcPr>
        <w:p w14:paraId="6C6440EA" w14:textId="77777777" w:rsidR="00BC74F4" w:rsidRDefault="007477EA">
          <w:pPr>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Modello 2</w:t>
          </w:r>
        </w:p>
        <w:p w14:paraId="5D1B3FE6" w14:textId="77777777" w:rsidR="00BC74F4" w:rsidRDefault="007477EA">
          <w:pPr>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 xml:space="preserve">Dichiarazione sostitutiva certificazione di cui all’art. 89 del D.Lgs 159/2011 </w:t>
          </w:r>
          <w:r>
            <w:rPr>
              <w:rFonts w:ascii="Arial" w:eastAsia="Arial" w:hAnsi="Arial" w:cs="Arial"/>
              <w:i/>
              <w:color w:val="000000"/>
              <w:sz w:val="18"/>
              <w:szCs w:val="18"/>
            </w:rPr>
            <w:t>(Autocertificazione antimafia)</w:t>
          </w:r>
        </w:p>
      </w:tc>
    </w:tr>
  </w:tbl>
  <w:p w14:paraId="3EFCA188" w14:textId="77777777" w:rsidR="00BC74F4" w:rsidRDefault="00BC74F4">
    <w:pPr>
      <w:pBdr>
        <w:top w:val="nil"/>
        <w:left w:val="nil"/>
        <w:bottom w:val="nil"/>
        <w:right w:val="nil"/>
        <w:between w:val="nil"/>
      </w:pBdr>
      <w:spacing w:line="360" w:lineRule="auto"/>
      <w:jc w:val="both"/>
      <w:rPr>
        <w:color w:val="000000"/>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BF49" w14:textId="3A0D4B4B" w:rsidR="00BC74F4" w:rsidRDefault="007477EA">
    <w:pPr>
      <w:widowControl w:val="0"/>
      <w:pBdr>
        <w:top w:val="nil"/>
        <w:left w:val="nil"/>
        <w:bottom w:val="nil"/>
        <w:right w:val="nil"/>
        <w:between w:val="nil"/>
      </w:pBdr>
      <w:spacing w:line="276" w:lineRule="auto"/>
      <w:rPr>
        <w:color w:val="000000"/>
        <w:sz w:val="14"/>
        <w:szCs w:val="14"/>
      </w:rPr>
    </w:pPr>
    <w:r>
      <w:rPr>
        <w:noProof/>
        <w:color w:val="000000"/>
        <w:sz w:val="14"/>
        <w:szCs w:val="14"/>
      </w:rPr>
      <w:drawing>
        <wp:anchor distT="0" distB="0" distL="114300" distR="114300" simplePos="0" relativeHeight="251662336" behindDoc="0" locked="0" layoutInCell="1" allowOverlap="1" wp14:anchorId="3365DEEF" wp14:editId="397DD951">
          <wp:simplePos x="0" y="0"/>
          <wp:positionH relativeFrom="column">
            <wp:posOffset>-723900</wp:posOffset>
          </wp:positionH>
          <wp:positionV relativeFrom="paragraph">
            <wp:posOffset>72390</wp:posOffset>
          </wp:positionV>
          <wp:extent cx="7315835" cy="1926590"/>
          <wp:effectExtent l="0" t="0" r="0" b="0"/>
          <wp:wrapNone/>
          <wp:docPr id="412697591" name="Immagine 412697591" descr="Immagine che contiene testo, Carattere, Blu elettric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21078" name="Immagine 22321078" descr="Immagine che contiene testo, Carattere, Blu elettrico, log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835" cy="1926590"/>
                  </a:xfrm>
                  <a:prstGeom prst="rect">
                    <a:avLst/>
                  </a:prstGeom>
                  <a:noFill/>
                </pic:spPr>
              </pic:pic>
            </a:graphicData>
          </a:graphic>
          <wp14:sizeRelH relativeFrom="page">
            <wp14:pctWidth>0</wp14:pctWidth>
          </wp14:sizeRelH>
          <wp14:sizeRelV relativeFrom="page">
            <wp14:pctHeight>0</wp14:pctHeight>
          </wp14:sizeRelV>
        </wp:anchor>
      </w:drawing>
    </w:r>
  </w:p>
  <w:p w14:paraId="1044408B" w14:textId="4138C5E9" w:rsidR="00BC74F4" w:rsidRDefault="00BC74F4">
    <w:pPr>
      <w:pBdr>
        <w:top w:val="nil"/>
        <w:left w:val="nil"/>
        <w:bottom w:val="nil"/>
        <w:right w:val="nil"/>
        <w:between w:val="nil"/>
      </w:pBdr>
      <w:spacing w:line="360" w:lineRule="auto"/>
      <w:jc w:val="both"/>
      <w:rPr>
        <w:color w:val="000000"/>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D64B" w14:textId="20478CF8" w:rsidR="00BC74F4" w:rsidRDefault="008923AF" w:rsidP="008923AF">
    <w:pPr>
      <w:widowControl w:val="0"/>
      <w:pBdr>
        <w:top w:val="nil"/>
        <w:left w:val="nil"/>
        <w:bottom w:val="nil"/>
        <w:right w:val="nil"/>
        <w:between w:val="nil"/>
      </w:pBdr>
      <w:spacing w:line="276" w:lineRule="auto"/>
      <w:ind w:leftChars="-567" w:left="-1133"/>
      <w:rPr>
        <w:color w:val="000000"/>
        <w:sz w:val="14"/>
        <w:szCs w:val="14"/>
      </w:rPr>
    </w:pPr>
    <w:r>
      <w:rPr>
        <w:noProof/>
        <w:color w:val="000000"/>
        <w:sz w:val="14"/>
        <w:szCs w:val="14"/>
      </w:rPr>
      <w:drawing>
        <wp:anchor distT="0" distB="0" distL="114300" distR="114300" simplePos="0" relativeHeight="251660288" behindDoc="0" locked="0" layoutInCell="1" allowOverlap="1" wp14:anchorId="5BD461DD" wp14:editId="17FE4D50">
          <wp:simplePos x="0" y="0"/>
          <wp:positionH relativeFrom="column">
            <wp:posOffset>-762000</wp:posOffset>
          </wp:positionH>
          <wp:positionV relativeFrom="paragraph">
            <wp:posOffset>-635</wp:posOffset>
          </wp:positionV>
          <wp:extent cx="7315835" cy="1926590"/>
          <wp:effectExtent l="0" t="0" r="0" b="0"/>
          <wp:wrapNone/>
          <wp:docPr id="1498033851" name="Immagine 1498033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835" cy="1926590"/>
                  </a:xfrm>
                  <a:prstGeom prst="rect">
                    <a:avLst/>
                  </a:prstGeom>
                  <a:noFill/>
                </pic:spPr>
              </pic:pic>
            </a:graphicData>
          </a:graphic>
          <wp14:sizeRelH relativeFrom="page">
            <wp14:pctWidth>0</wp14:pctWidth>
          </wp14:sizeRelH>
          <wp14:sizeRelV relativeFrom="page">
            <wp14:pctHeight>0</wp14:pctHeight>
          </wp14:sizeRelV>
        </wp:anchor>
      </w:drawing>
    </w:r>
  </w:p>
  <w:p w14:paraId="1ADA6874" w14:textId="04A26C46" w:rsidR="00BC74F4" w:rsidRDefault="00BC74F4">
    <w:pPr>
      <w:pBdr>
        <w:top w:val="nil"/>
        <w:left w:val="nil"/>
        <w:bottom w:val="nil"/>
        <w:right w:val="nil"/>
        <w:between w:val="nil"/>
      </w:pBdr>
      <w:spacing w:line="360" w:lineRule="auto"/>
      <w:jc w:val="both"/>
      <w:rPr>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100B"/>
    <w:multiLevelType w:val="multilevel"/>
    <w:tmpl w:val="72103030"/>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 w15:restartNumberingAfterBreak="0">
    <w:nsid w:val="06FA4274"/>
    <w:multiLevelType w:val="multilevel"/>
    <w:tmpl w:val="19729AE8"/>
    <w:lvl w:ilvl="0">
      <w:start w:val="1"/>
      <w:numFmt w:val="lowerLetter"/>
      <w:lvlText w:val="%1)"/>
      <w:lvlJc w:val="left"/>
      <w:pPr>
        <w:ind w:left="722" w:hanging="360"/>
      </w:pPr>
    </w:lvl>
    <w:lvl w:ilvl="1">
      <w:start w:val="1"/>
      <w:numFmt w:val="lowerLetter"/>
      <w:lvlText w:val="%2."/>
      <w:lvlJc w:val="left"/>
      <w:pPr>
        <w:ind w:left="1442" w:hanging="360"/>
      </w:pPr>
    </w:lvl>
    <w:lvl w:ilvl="2">
      <w:start w:val="1"/>
      <w:numFmt w:val="lowerRoman"/>
      <w:lvlText w:val="%3."/>
      <w:lvlJc w:val="right"/>
      <w:pPr>
        <w:ind w:left="2162" w:hanging="180"/>
      </w:pPr>
    </w:lvl>
    <w:lvl w:ilvl="3">
      <w:start w:val="1"/>
      <w:numFmt w:val="decimal"/>
      <w:lvlText w:val="%4."/>
      <w:lvlJc w:val="left"/>
      <w:pPr>
        <w:ind w:left="2882" w:hanging="360"/>
      </w:pPr>
    </w:lvl>
    <w:lvl w:ilvl="4">
      <w:start w:val="1"/>
      <w:numFmt w:val="lowerLetter"/>
      <w:lvlText w:val="%5."/>
      <w:lvlJc w:val="left"/>
      <w:pPr>
        <w:ind w:left="3602" w:hanging="360"/>
      </w:pPr>
    </w:lvl>
    <w:lvl w:ilvl="5">
      <w:start w:val="1"/>
      <w:numFmt w:val="lowerRoman"/>
      <w:lvlText w:val="%6."/>
      <w:lvlJc w:val="right"/>
      <w:pPr>
        <w:ind w:left="4322" w:hanging="180"/>
      </w:pPr>
    </w:lvl>
    <w:lvl w:ilvl="6">
      <w:start w:val="1"/>
      <w:numFmt w:val="decimal"/>
      <w:lvlText w:val="%7."/>
      <w:lvlJc w:val="left"/>
      <w:pPr>
        <w:ind w:left="5042" w:hanging="360"/>
      </w:pPr>
    </w:lvl>
    <w:lvl w:ilvl="7">
      <w:start w:val="1"/>
      <w:numFmt w:val="lowerLetter"/>
      <w:lvlText w:val="%8."/>
      <w:lvlJc w:val="left"/>
      <w:pPr>
        <w:ind w:left="5762" w:hanging="360"/>
      </w:pPr>
    </w:lvl>
    <w:lvl w:ilvl="8">
      <w:start w:val="1"/>
      <w:numFmt w:val="lowerRoman"/>
      <w:lvlText w:val="%9."/>
      <w:lvlJc w:val="right"/>
      <w:pPr>
        <w:ind w:left="6482" w:hanging="180"/>
      </w:pPr>
    </w:lvl>
  </w:abstractNum>
  <w:abstractNum w:abstractNumId="2" w15:restartNumberingAfterBreak="0">
    <w:nsid w:val="0C140114"/>
    <w:multiLevelType w:val="multilevel"/>
    <w:tmpl w:val="FF3C3694"/>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EBF56C4"/>
    <w:multiLevelType w:val="multilevel"/>
    <w:tmpl w:val="B05EA10A"/>
    <w:lvl w:ilvl="0">
      <w:start w:val="1"/>
      <w:numFmt w:val="lowerLetter"/>
      <w:lvlText w:val="%1."/>
      <w:lvlJc w:val="left"/>
      <w:pPr>
        <w:ind w:left="775" w:hanging="360"/>
      </w:pPr>
      <w:rPr>
        <w:b/>
        <w:vertAlign w:val="baseline"/>
      </w:rPr>
    </w:lvl>
    <w:lvl w:ilvl="1">
      <w:start w:val="1"/>
      <w:numFmt w:val="lowerLetter"/>
      <w:lvlText w:val="%2."/>
      <w:lvlJc w:val="left"/>
      <w:pPr>
        <w:ind w:left="1495" w:hanging="360"/>
      </w:pPr>
      <w:rPr>
        <w:vertAlign w:val="baseline"/>
      </w:rPr>
    </w:lvl>
    <w:lvl w:ilvl="2">
      <w:start w:val="1"/>
      <w:numFmt w:val="lowerRoman"/>
      <w:lvlText w:val="%3."/>
      <w:lvlJc w:val="right"/>
      <w:pPr>
        <w:ind w:left="2215" w:hanging="180"/>
      </w:pPr>
      <w:rPr>
        <w:vertAlign w:val="baseline"/>
      </w:rPr>
    </w:lvl>
    <w:lvl w:ilvl="3">
      <w:start w:val="1"/>
      <w:numFmt w:val="decimal"/>
      <w:lvlText w:val="%4."/>
      <w:lvlJc w:val="left"/>
      <w:pPr>
        <w:ind w:left="2935" w:hanging="360"/>
      </w:pPr>
      <w:rPr>
        <w:vertAlign w:val="baseline"/>
      </w:rPr>
    </w:lvl>
    <w:lvl w:ilvl="4">
      <w:start w:val="1"/>
      <w:numFmt w:val="lowerLetter"/>
      <w:lvlText w:val="%5."/>
      <w:lvlJc w:val="left"/>
      <w:pPr>
        <w:ind w:left="3655" w:hanging="360"/>
      </w:pPr>
      <w:rPr>
        <w:vertAlign w:val="baseline"/>
      </w:rPr>
    </w:lvl>
    <w:lvl w:ilvl="5">
      <w:start w:val="1"/>
      <w:numFmt w:val="lowerRoman"/>
      <w:lvlText w:val="%6."/>
      <w:lvlJc w:val="right"/>
      <w:pPr>
        <w:ind w:left="4375" w:hanging="180"/>
      </w:pPr>
      <w:rPr>
        <w:vertAlign w:val="baseline"/>
      </w:rPr>
    </w:lvl>
    <w:lvl w:ilvl="6">
      <w:start w:val="1"/>
      <w:numFmt w:val="decimal"/>
      <w:lvlText w:val="%7."/>
      <w:lvlJc w:val="left"/>
      <w:pPr>
        <w:ind w:left="5095" w:hanging="360"/>
      </w:pPr>
      <w:rPr>
        <w:vertAlign w:val="baseline"/>
      </w:rPr>
    </w:lvl>
    <w:lvl w:ilvl="7">
      <w:start w:val="1"/>
      <w:numFmt w:val="lowerLetter"/>
      <w:lvlText w:val="%8."/>
      <w:lvlJc w:val="left"/>
      <w:pPr>
        <w:ind w:left="5815" w:hanging="360"/>
      </w:pPr>
      <w:rPr>
        <w:vertAlign w:val="baseline"/>
      </w:rPr>
    </w:lvl>
    <w:lvl w:ilvl="8">
      <w:start w:val="1"/>
      <w:numFmt w:val="lowerRoman"/>
      <w:lvlText w:val="%9."/>
      <w:lvlJc w:val="right"/>
      <w:pPr>
        <w:ind w:left="6535" w:hanging="180"/>
      </w:pPr>
      <w:rPr>
        <w:vertAlign w:val="baseline"/>
      </w:rPr>
    </w:lvl>
  </w:abstractNum>
  <w:abstractNum w:abstractNumId="4" w15:restartNumberingAfterBreak="0">
    <w:nsid w:val="1AF71C4A"/>
    <w:multiLevelType w:val="multilevel"/>
    <w:tmpl w:val="07466F30"/>
    <w:lvl w:ilvl="0">
      <w:start w:val="1"/>
      <w:numFmt w:val="decimal"/>
      <w:lvlText w:val="%1)"/>
      <w:lvlJc w:val="left"/>
      <w:pPr>
        <w:ind w:left="113" w:hanging="113"/>
      </w:pPr>
      <w:rPr>
        <w:b/>
        <w:i/>
        <w:color w:val="000000"/>
        <w:sz w:val="22"/>
        <w:szCs w:val="22"/>
        <w:vertAlign w:val="baseline"/>
      </w:rPr>
    </w:lvl>
    <w:lvl w:ilvl="1">
      <w:start w:val="1"/>
      <w:numFmt w:val="lowerLetter"/>
      <w:lvlText w:val="%2)"/>
      <w:lvlJc w:val="left"/>
      <w:pPr>
        <w:ind w:left="284" w:hanging="171"/>
      </w:pPr>
      <w:rPr>
        <w:b/>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36A1764"/>
    <w:multiLevelType w:val="multilevel"/>
    <w:tmpl w:val="04767A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BAE67F9"/>
    <w:multiLevelType w:val="multilevel"/>
    <w:tmpl w:val="32427A5E"/>
    <w:lvl w:ilvl="0">
      <w:start w:val="1"/>
      <w:numFmt w:val="lowerLetter"/>
      <w:lvlText w:val="%1."/>
      <w:lvlJc w:val="left"/>
      <w:pPr>
        <w:ind w:left="775" w:hanging="360"/>
      </w:pPr>
      <w:rPr>
        <w:b/>
        <w:vertAlign w:val="baseline"/>
      </w:rPr>
    </w:lvl>
    <w:lvl w:ilvl="1">
      <w:start w:val="1"/>
      <w:numFmt w:val="upperRoman"/>
      <w:lvlText w:val="%2."/>
      <w:lvlJc w:val="right"/>
      <w:pPr>
        <w:ind w:left="1495" w:hanging="360"/>
      </w:pPr>
    </w:lvl>
    <w:lvl w:ilvl="2">
      <w:start w:val="1"/>
      <w:numFmt w:val="lowerRoman"/>
      <w:lvlText w:val="%3."/>
      <w:lvlJc w:val="right"/>
      <w:pPr>
        <w:ind w:left="2215" w:hanging="180"/>
      </w:pPr>
      <w:rPr>
        <w:vertAlign w:val="baseline"/>
      </w:rPr>
    </w:lvl>
    <w:lvl w:ilvl="3">
      <w:start w:val="1"/>
      <w:numFmt w:val="decimal"/>
      <w:lvlText w:val="%4."/>
      <w:lvlJc w:val="left"/>
      <w:pPr>
        <w:ind w:left="2935" w:hanging="360"/>
      </w:pPr>
      <w:rPr>
        <w:vertAlign w:val="baseline"/>
      </w:rPr>
    </w:lvl>
    <w:lvl w:ilvl="4">
      <w:start w:val="1"/>
      <w:numFmt w:val="lowerLetter"/>
      <w:lvlText w:val="%5."/>
      <w:lvlJc w:val="left"/>
      <w:pPr>
        <w:ind w:left="3655" w:hanging="360"/>
      </w:pPr>
      <w:rPr>
        <w:vertAlign w:val="baseline"/>
      </w:rPr>
    </w:lvl>
    <w:lvl w:ilvl="5">
      <w:start w:val="1"/>
      <w:numFmt w:val="lowerRoman"/>
      <w:lvlText w:val="%6."/>
      <w:lvlJc w:val="right"/>
      <w:pPr>
        <w:ind w:left="4375" w:hanging="180"/>
      </w:pPr>
      <w:rPr>
        <w:vertAlign w:val="baseline"/>
      </w:rPr>
    </w:lvl>
    <w:lvl w:ilvl="6">
      <w:start w:val="1"/>
      <w:numFmt w:val="decimal"/>
      <w:lvlText w:val="%7."/>
      <w:lvlJc w:val="left"/>
      <w:pPr>
        <w:ind w:left="5095" w:hanging="360"/>
      </w:pPr>
      <w:rPr>
        <w:vertAlign w:val="baseline"/>
      </w:rPr>
    </w:lvl>
    <w:lvl w:ilvl="7">
      <w:start w:val="1"/>
      <w:numFmt w:val="lowerLetter"/>
      <w:lvlText w:val="%8."/>
      <w:lvlJc w:val="left"/>
      <w:pPr>
        <w:ind w:left="5815" w:hanging="360"/>
      </w:pPr>
      <w:rPr>
        <w:vertAlign w:val="baseline"/>
      </w:rPr>
    </w:lvl>
    <w:lvl w:ilvl="8">
      <w:start w:val="1"/>
      <w:numFmt w:val="lowerRoman"/>
      <w:lvlText w:val="%9."/>
      <w:lvlJc w:val="right"/>
      <w:pPr>
        <w:ind w:left="6535" w:hanging="180"/>
      </w:pPr>
      <w:rPr>
        <w:vertAlign w:val="baseline"/>
      </w:rPr>
    </w:lvl>
  </w:abstractNum>
  <w:abstractNum w:abstractNumId="7" w15:restartNumberingAfterBreak="0">
    <w:nsid w:val="680007BD"/>
    <w:multiLevelType w:val="multilevel"/>
    <w:tmpl w:val="179E9164"/>
    <w:lvl w:ilvl="0">
      <w:start w:val="18"/>
      <w:numFmt w:val="bullet"/>
      <w:lvlText w:val="-"/>
      <w:lvlJc w:val="left"/>
      <w:pPr>
        <w:ind w:left="1069" w:hanging="360"/>
      </w:pPr>
      <w:rPr>
        <w:rFonts w:ascii="Times" w:eastAsia="Times" w:hAnsi="Times" w:cs="Times"/>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8" w15:restartNumberingAfterBreak="0">
    <w:nsid w:val="6A5D49F4"/>
    <w:multiLevelType w:val="multilevel"/>
    <w:tmpl w:val="CCAA2DCE"/>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955211354">
    <w:abstractNumId w:val="5"/>
  </w:num>
  <w:num w:numId="2" w16cid:durableId="1717972831">
    <w:abstractNumId w:val="1"/>
  </w:num>
  <w:num w:numId="3" w16cid:durableId="169029583">
    <w:abstractNumId w:val="0"/>
  </w:num>
  <w:num w:numId="4" w16cid:durableId="1888179579">
    <w:abstractNumId w:val="7"/>
  </w:num>
  <w:num w:numId="5" w16cid:durableId="278463158">
    <w:abstractNumId w:val="6"/>
  </w:num>
  <w:num w:numId="6" w16cid:durableId="656610293">
    <w:abstractNumId w:val="2"/>
  </w:num>
  <w:num w:numId="7" w16cid:durableId="1752115117">
    <w:abstractNumId w:val="8"/>
  </w:num>
  <w:num w:numId="8" w16cid:durableId="1703163837">
    <w:abstractNumId w:val="3"/>
  </w:num>
  <w:num w:numId="9" w16cid:durableId="460418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inkAnnotations="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4F4"/>
    <w:rsid w:val="00206850"/>
    <w:rsid w:val="007477EA"/>
    <w:rsid w:val="00877927"/>
    <w:rsid w:val="008923AF"/>
    <w:rsid w:val="00BC74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28842F"/>
  <w15:docId w15:val="{E978A644-ABE2-40AF-B2D4-BCDD17E4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uiPriority w:val="9"/>
    <w:qFormat/>
    <w:pPr>
      <w:keepNext/>
      <w:widowControl w:val="0"/>
      <w:spacing w:line="567" w:lineRule="atLeast"/>
      <w:jc w:val="center"/>
    </w:pPr>
    <w:rPr>
      <w:b/>
      <w:sz w:val="22"/>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Titolo1Carattere">
    <w:name w:val="Titolo 1 Carattere"/>
    <w:rPr>
      <w:rFonts w:ascii="Times New Roman" w:eastAsia="Times New Roman" w:hAnsi="Times New Roman" w:cs="Times New Roman"/>
      <w:b/>
      <w:w w:val="100"/>
      <w:position w:val="-1"/>
      <w:szCs w:val="20"/>
      <w:effect w:val="none"/>
      <w:vertAlign w:val="baseline"/>
      <w:cs w:val="0"/>
      <w:em w:val="none"/>
      <w:lang w:val="it-IT" w:eastAsia="it-IT"/>
    </w:rPr>
  </w:style>
  <w:style w:type="paragraph" w:styleId="Intestazione">
    <w:name w:val="header"/>
    <w:basedOn w:val="Normale"/>
    <w:pPr>
      <w:spacing w:line="360" w:lineRule="auto"/>
      <w:jc w:val="both"/>
    </w:pPr>
    <w:rPr>
      <w:sz w:val="14"/>
    </w:rPr>
  </w:style>
  <w:style w:type="character" w:customStyle="1" w:styleId="IntestazioneCarattere">
    <w:name w:val="Intestazione Carattere"/>
    <w:rPr>
      <w:rFonts w:ascii="Times New Roman" w:eastAsia="Times New Roman" w:hAnsi="Times New Roman" w:cs="Times New Roman"/>
      <w:w w:val="100"/>
      <w:position w:val="-1"/>
      <w:sz w:val="14"/>
      <w:szCs w:val="20"/>
      <w:effect w:val="none"/>
      <w:vertAlign w:val="baseline"/>
      <w:cs w:val="0"/>
      <w:em w:val="none"/>
      <w:lang w:val="it-IT" w:eastAsia="it-IT"/>
    </w:rPr>
  </w:style>
  <w:style w:type="paragraph" w:styleId="Pidipagina">
    <w:name w:val="footer"/>
    <w:basedOn w:val="Normale"/>
  </w:style>
  <w:style w:type="character" w:customStyle="1" w:styleId="PidipaginaCarattere">
    <w:name w:val="Piè di pagina Carattere"/>
    <w:rPr>
      <w:rFonts w:ascii="Times New Roman" w:eastAsia="Times New Roman" w:hAnsi="Times New Roman" w:cs="Times New Roman"/>
      <w:w w:val="100"/>
      <w:position w:val="-1"/>
      <w:sz w:val="20"/>
      <w:szCs w:val="20"/>
      <w:effect w:val="none"/>
      <w:vertAlign w:val="baseline"/>
      <w:cs w:val="0"/>
      <w:em w:val="none"/>
      <w:lang w:val="it-IT" w:eastAsia="it-IT"/>
    </w:rPr>
  </w:style>
  <w:style w:type="paragraph" w:styleId="Testodelblocco">
    <w:name w:val="Block Text"/>
    <w:basedOn w:val="Normale"/>
    <w:pPr>
      <w:spacing w:line="480" w:lineRule="atLeast"/>
      <w:ind w:left="1276" w:right="1134"/>
      <w:jc w:val="both"/>
    </w:pPr>
    <w:rPr>
      <w:b/>
      <w:sz w:val="24"/>
    </w:rPr>
  </w:style>
  <w:style w:type="character" w:styleId="Collegamentoipertestuale">
    <w:name w:val="Hyperlink"/>
    <w:rPr>
      <w:color w:val="0000FF"/>
      <w:w w:val="100"/>
      <w:position w:val="-1"/>
      <w:u w:val="single"/>
      <w:effect w:val="none"/>
      <w:vertAlign w:val="baseline"/>
      <w:cs w:val="0"/>
      <w:em w:val="none"/>
    </w:rPr>
  </w:style>
  <w:style w:type="numbering" w:customStyle="1" w:styleId="StileTestodelblocco11ptNonGrassettoDestro-015cmInt">
    <w:name w:val="Stile Testo del blocco + 11 pt Non Grassetto Destro -015 cm Int..."/>
    <w:basedOn w:val="Nessunelenco"/>
  </w:style>
  <w:style w:type="paragraph" w:customStyle="1" w:styleId="Corpodeltesto21">
    <w:name w:val="Corpo del testo 21"/>
    <w:basedOn w:val="Normale"/>
    <w:pPr>
      <w:suppressAutoHyphens w:val="0"/>
      <w:autoSpaceDE w:val="0"/>
      <w:spacing w:line="360" w:lineRule="auto"/>
      <w:ind w:left="284" w:hanging="284"/>
      <w:jc w:val="both"/>
    </w:pPr>
    <w:rPr>
      <w:rFonts w:ascii="Courier New" w:hAnsi="Courier New" w:cs="Courier New"/>
      <w:sz w:val="24"/>
      <w:szCs w:val="24"/>
      <w:lang w:eastAsia="ar-SA"/>
    </w:rPr>
  </w:style>
  <w:style w:type="paragraph" w:styleId="NormaleWeb">
    <w:name w:val="Normal (Web)"/>
    <w:basedOn w:val="Normale"/>
    <w:qFormat/>
    <w:pPr>
      <w:spacing w:before="100" w:beforeAutospacing="1" w:after="100" w:afterAutospacing="1"/>
    </w:pPr>
    <w:rPr>
      <w:rFonts w:ascii="Times" w:hAnsi="Time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108" w:type="dxa"/>
        <w:right w:w="108" w:type="dxa"/>
      </w:tblCellMar>
    </w:tblPr>
  </w:style>
  <w:style w:type="table" w:customStyle="1" w:styleId="a1">
    <w:basedOn w:val="TableNormal3"/>
    <w:tblPr>
      <w:tblStyleRowBandSize w:val="1"/>
      <w:tblStyleColBandSize w:val="1"/>
      <w:tblCellMar>
        <w:left w:w="108" w:type="dxa"/>
        <w:right w:w="108" w:type="dxa"/>
      </w:tblCellMar>
    </w:tblPr>
  </w:style>
  <w:style w:type="table" w:customStyle="1" w:styleId="a2">
    <w:basedOn w:val="TableNormal3"/>
    <w:tblPr>
      <w:tblStyleRowBandSize w:val="1"/>
      <w:tblStyleColBandSize w:val="1"/>
      <w:tblCellMar>
        <w:left w:w="108" w:type="dxa"/>
        <w:right w:w="108" w:type="dxa"/>
      </w:tblCellMar>
    </w:tblPr>
  </w:style>
  <w:style w:type="table" w:customStyle="1" w:styleId="a3">
    <w:basedOn w:val="TableNormal3"/>
    <w:tblPr>
      <w:tblStyleRowBandSize w:val="1"/>
      <w:tblStyleColBandSize w:val="1"/>
      <w:tblCellMar>
        <w:left w:w="108" w:type="dxa"/>
        <w:right w:w="108" w:type="dxa"/>
      </w:tblCellMar>
    </w:tblPr>
  </w:style>
  <w:style w:type="table" w:customStyle="1" w:styleId="a4">
    <w:basedOn w:val="TableNormal3"/>
    <w:tblPr>
      <w:tblStyleRowBandSize w:val="1"/>
      <w:tblStyleColBandSize w:val="1"/>
      <w:tblCellMar>
        <w:left w:w="108" w:type="dxa"/>
        <w:right w:w="108" w:type="dxa"/>
      </w:tblCellMar>
    </w:tblPr>
  </w:style>
  <w:style w:type="table" w:customStyle="1" w:styleId="a5">
    <w:basedOn w:val="TableNormal3"/>
    <w:tblPr>
      <w:tblStyleRowBandSize w:val="1"/>
      <w:tblStyleColBandSize w:val="1"/>
      <w:tblCellMar>
        <w:left w:w="108" w:type="dxa"/>
        <w:right w:w="108" w:type="dxa"/>
      </w:tblCellMar>
    </w:tblPr>
  </w:style>
  <w:style w:type="table" w:customStyle="1" w:styleId="a6">
    <w:basedOn w:val="TableNormal3"/>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left w:w="108" w:type="dxa"/>
        <w:right w:w="108" w:type="dxa"/>
      </w:tblCellMar>
    </w:tblPr>
  </w:style>
  <w:style w:type="paragraph" w:styleId="Paragrafoelenco">
    <w:name w:val="List Paragraph"/>
    <w:basedOn w:val="Normale"/>
    <w:uiPriority w:val="34"/>
    <w:qFormat/>
    <w:rsid w:val="001C12F5"/>
    <w:pPr>
      <w:ind w:left="720"/>
      <w:contextualSpacing/>
    </w:p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Cl04GVG0RnQpftTIrnbJLuHmQQ==">CgMxLjAaIwoBMBIeChwIB0IYCg1UaXRpbGxpdW0gV2ViEgdQVCBNb25vGiEKATESHAoaCAdCFgoNVGl0aWxsaXVtIFdlYhIFQ2FyZG8aIwoBMhIeChwIB0IYCg1UaXRpbGxpdW0gV2ViEgdQVCBNb25vGiEKATMSHAoaCAdCFgoNVGl0aWxsaXVtIFdlYhIFQ2FyZG8aIwoBNBIeChwIB0IYCg1UaXRpbGxpdW0gV2ViEgdQVCBNb25vGiEKATUSHAoaCAdCFgoNVGl0aWxsaXVtIFdlYhIFQ2FyZG8yCGguZ2pkZ3hzMgloLjN6bnlzaDcyCWguMzBqMHpsbDIJaC4xZm9iOXRlMg5oLjEyb3N6MnR1NHljMDgAciExWUtyWWtoM3M3YVhna2wxaklDV2Z4SS1ub29ZbjB6c1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6285</Words>
  <Characters>35826</Characters>
  <Application>Microsoft Office Word</Application>
  <DocSecurity>0</DocSecurity>
  <Lines>298</Lines>
  <Paragraphs>84</Paragraphs>
  <ScaleCrop>false</ScaleCrop>
  <Company/>
  <LinksUpToDate>false</LinksUpToDate>
  <CharactersWithSpaces>42027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Zucchini</dc:creator>
  <cp:lastModifiedBy>erina pizzi</cp:lastModifiedBy>
  <cp:revision>3</cp:revision>
  <dcterms:created xsi:type="dcterms:W3CDTF">2023-11-10T10:59:00Z</dcterms:created>
  <dcterms:modified xsi:type="dcterms:W3CDTF">2023-11-10T11:00:00Z</dcterms:modified>
</cp:coreProperties>
</file>